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202</w:t>
      </w:r>
      <w:r>
        <w:rPr>
          <w:rFonts w:hint="eastAsia"/>
          <w:sz w:val="36"/>
          <w:szCs w:val="36"/>
          <w:lang w:val="en-US" w:eastAsia="zh-CN"/>
        </w:rPr>
        <w:t>1</w:t>
      </w:r>
      <w:r>
        <w:rPr>
          <w:rFonts w:hint="eastAsia"/>
          <w:sz w:val="36"/>
          <w:szCs w:val="36"/>
        </w:rPr>
        <w:t>年度全日制本科生转专业面试工作方案</w:t>
      </w:r>
    </w:p>
    <w:p>
      <w:pPr>
        <w:jc w:val="center"/>
      </w:pPr>
    </w:p>
    <w:p>
      <w:pPr>
        <w:spacing w:line="480" w:lineRule="exact"/>
        <w:rPr>
          <w:rFonts w:ascii="仿宋" w:hAnsi="仿宋" w:eastAsia="仿宋"/>
          <w:sz w:val="30"/>
          <w:szCs w:val="30"/>
        </w:rPr>
      </w:pPr>
      <w:r>
        <w:rPr>
          <w:rFonts w:hint="eastAsia" w:ascii="仿宋" w:hAnsi="仿宋" w:eastAsia="仿宋"/>
          <w:sz w:val="30"/>
          <w:szCs w:val="30"/>
        </w:rPr>
        <w:t>各二级学院：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依据《皖江工学院学生校内转专业实施办法（修订）》的相关规定，现将我校202</w:t>
      </w:r>
      <w:r>
        <w:rPr>
          <w:rFonts w:hint="eastAsia" w:ascii="仿宋" w:hAnsi="仿宋" w:eastAsia="仿宋"/>
          <w:sz w:val="30"/>
          <w:szCs w:val="30"/>
          <w:lang w:val="en-US" w:eastAsia="zh-CN"/>
        </w:rPr>
        <w:t>1</w:t>
      </w:r>
      <w:r>
        <w:rPr>
          <w:rFonts w:hint="eastAsia" w:ascii="仿宋" w:hAnsi="仿宋" w:eastAsia="仿宋"/>
          <w:sz w:val="30"/>
          <w:szCs w:val="30"/>
        </w:rPr>
        <w:t>年度全日制本科生转专业面试工作方案印发你们，请各二级学院严格按照方案要求，做好本单位转专业学生面试工作。</w:t>
      </w:r>
    </w:p>
    <w:p>
      <w:pPr>
        <w:spacing w:line="480" w:lineRule="exact"/>
        <w:ind w:firstLine="600" w:firstLineChars="200"/>
        <w:rPr>
          <w:rFonts w:ascii="黑体" w:hAnsi="黑体" w:eastAsia="黑体"/>
          <w:sz w:val="30"/>
          <w:szCs w:val="30"/>
        </w:rPr>
      </w:pPr>
      <w:r>
        <w:rPr>
          <w:rFonts w:hint="eastAsia" w:ascii="黑体" w:hAnsi="黑体" w:eastAsia="黑体"/>
          <w:sz w:val="30"/>
          <w:szCs w:val="30"/>
        </w:rPr>
        <w:t>一、基本情况介绍</w:t>
      </w:r>
    </w:p>
    <w:p>
      <w:pPr>
        <w:spacing w:line="480"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（一）报名转专业的同学均可填报两个志愿。</w:t>
      </w:r>
    </w:p>
    <w:p>
      <w:pPr>
        <w:spacing w:line="480"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二）教务部将相同转出专业的学生成绩由高分到低分排序，先确定各专业符合转出条件的学生，各专业转出人数原则上不超过专业学生人数的10%。教务部再将所有符合转出条件的学生按笔试成绩由高分到低分进行排序，并依据成绩排序检索学生第一、第二志愿逐个投档，投档比例为1:1.1。</w:t>
      </w:r>
    </w:p>
    <w:p>
      <w:pPr>
        <w:spacing w:line="480"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（三）面试成绩总分为100分，面试范围为学生的基本素质、转入专业的基本学习能力等。</w:t>
      </w:r>
    </w:p>
    <w:p>
      <w:pPr>
        <w:spacing w:line="480" w:lineRule="exact"/>
        <w:ind w:firstLine="600" w:firstLineChars="200"/>
        <w:rPr>
          <w:rFonts w:ascii="仿宋" w:hAnsi="仿宋" w:eastAsia="仿宋" w:cs="Times New Roman"/>
          <w:sz w:val="30"/>
          <w:szCs w:val="30"/>
        </w:rPr>
      </w:pPr>
      <w:r>
        <w:rPr>
          <w:rFonts w:hint="eastAsia" w:ascii="仿宋" w:hAnsi="仿宋" w:eastAsia="仿宋" w:cs="Times New Roman"/>
          <w:sz w:val="30"/>
          <w:szCs w:val="30"/>
        </w:rPr>
        <w:t>（四）各专业转出与转入名额限制</w:t>
      </w:r>
    </w:p>
    <w:tbl>
      <w:tblPr>
        <w:tblStyle w:val="4"/>
        <w:tblW w:w="17038" w:type="dxa"/>
        <w:tblInd w:w="0" w:type="dxa"/>
        <w:tblLayout w:type="fixed"/>
        <w:tblCellMar>
          <w:top w:w="0" w:type="dxa"/>
          <w:left w:w="108" w:type="dxa"/>
          <w:bottom w:w="0" w:type="dxa"/>
          <w:right w:w="108" w:type="dxa"/>
        </w:tblCellMar>
      </w:tblPr>
      <w:tblGrid>
        <w:gridCol w:w="2000"/>
        <w:gridCol w:w="2551"/>
        <w:gridCol w:w="1227"/>
        <w:gridCol w:w="1418"/>
        <w:gridCol w:w="1417"/>
        <w:gridCol w:w="8425"/>
      </w:tblGrid>
      <w:tr>
        <w:tblPrEx>
          <w:tblCellMar>
            <w:top w:w="0" w:type="dxa"/>
            <w:left w:w="108" w:type="dxa"/>
            <w:bottom w:w="0" w:type="dxa"/>
            <w:right w:w="108" w:type="dxa"/>
          </w:tblCellMar>
        </w:tblPrEx>
        <w:trPr>
          <w:gridAfter w:val="1"/>
          <w:wAfter w:w="8425" w:type="dxa"/>
          <w:trHeight w:val="34" w:hRule="atLeast"/>
        </w:trPr>
        <w:tc>
          <w:tcPr>
            <w:tcW w:w="20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仿宋_GB2312"/>
                <w:b/>
                <w:kern w:val="0"/>
                <w:sz w:val="24"/>
              </w:rPr>
            </w:pPr>
            <w:r>
              <w:rPr>
                <w:rFonts w:hint="eastAsia" w:ascii="宋体" w:hAnsi="宋体" w:cs="仿宋_GB2312"/>
                <w:b/>
                <w:kern w:val="0"/>
                <w:sz w:val="24"/>
              </w:rPr>
              <w:t>院系</w:t>
            </w:r>
          </w:p>
        </w:tc>
        <w:tc>
          <w:tcPr>
            <w:tcW w:w="2551" w:type="dxa"/>
            <w:tcBorders>
              <w:top w:val="single" w:color="auto" w:sz="4" w:space="0"/>
              <w:left w:val="nil"/>
              <w:bottom w:val="single" w:color="auto" w:sz="4" w:space="0"/>
              <w:right w:val="single" w:color="auto" w:sz="4" w:space="0"/>
            </w:tcBorders>
            <w:vAlign w:val="center"/>
          </w:tcPr>
          <w:p>
            <w:pPr>
              <w:widowControl/>
              <w:jc w:val="center"/>
              <w:rPr>
                <w:rFonts w:ascii="宋体" w:hAnsi="宋体" w:cs="仿宋_GB2312"/>
                <w:b/>
                <w:kern w:val="0"/>
                <w:sz w:val="24"/>
              </w:rPr>
            </w:pPr>
            <w:r>
              <w:rPr>
                <w:rFonts w:hint="eastAsia" w:ascii="宋体" w:hAnsi="宋体" w:cs="仿宋_GB2312"/>
                <w:b/>
                <w:kern w:val="0"/>
                <w:sz w:val="24"/>
              </w:rPr>
              <w:t>专业</w:t>
            </w:r>
          </w:p>
        </w:tc>
        <w:tc>
          <w:tcPr>
            <w:tcW w:w="1227" w:type="dxa"/>
            <w:tcBorders>
              <w:top w:val="single" w:color="auto" w:sz="4" w:space="0"/>
              <w:left w:val="nil"/>
              <w:bottom w:val="single" w:color="auto" w:sz="4" w:space="0"/>
              <w:right w:val="single" w:color="auto" w:sz="4" w:space="0"/>
            </w:tcBorders>
            <w:vAlign w:val="center"/>
          </w:tcPr>
          <w:p>
            <w:pPr>
              <w:widowControl/>
              <w:jc w:val="center"/>
              <w:rPr>
                <w:rFonts w:ascii="宋体" w:hAnsi="宋体" w:cs="仿宋_GB2312"/>
                <w:b/>
                <w:kern w:val="0"/>
                <w:sz w:val="24"/>
              </w:rPr>
            </w:pPr>
            <w:r>
              <w:rPr>
                <w:rFonts w:hint="eastAsia" w:ascii="宋体" w:hAnsi="宋体" w:cs="仿宋_GB2312"/>
                <w:b/>
                <w:kern w:val="0"/>
                <w:sz w:val="24"/>
              </w:rPr>
              <w:t>各专业总人数</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仿宋_GB2312"/>
                <w:b/>
                <w:kern w:val="0"/>
                <w:sz w:val="24"/>
              </w:rPr>
            </w:pPr>
            <w:r>
              <w:rPr>
                <w:rFonts w:hint="eastAsia" w:ascii="宋体" w:hAnsi="宋体" w:cs="仿宋_GB2312"/>
                <w:b/>
                <w:kern w:val="0"/>
                <w:sz w:val="24"/>
              </w:rPr>
              <w:t>专业可转出人数</w:t>
            </w:r>
          </w:p>
        </w:tc>
        <w:tc>
          <w:tcPr>
            <w:tcW w:w="1417" w:type="dxa"/>
            <w:tcBorders>
              <w:top w:val="single" w:color="auto" w:sz="4" w:space="0"/>
              <w:left w:val="nil"/>
              <w:bottom w:val="single" w:color="auto" w:sz="4" w:space="0"/>
              <w:right w:val="single" w:color="auto" w:sz="4" w:space="0"/>
            </w:tcBorders>
            <w:vAlign w:val="center"/>
          </w:tcPr>
          <w:p>
            <w:pPr>
              <w:widowControl/>
              <w:tabs>
                <w:tab w:val="left" w:pos="2074"/>
              </w:tabs>
              <w:ind w:right="-107" w:rightChars="-51"/>
              <w:jc w:val="center"/>
              <w:rPr>
                <w:rFonts w:ascii="宋体" w:hAnsi="宋体" w:cs="仿宋_GB2312"/>
                <w:b/>
                <w:kern w:val="0"/>
                <w:sz w:val="24"/>
              </w:rPr>
            </w:pPr>
            <w:r>
              <w:rPr>
                <w:rFonts w:hint="eastAsia" w:ascii="宋体" w:hAnsi="宋体" w:cs="仿宋_GB2312"/>
                <w:b/>
                <w:kern w:val="0"/>
                <w:sz w:val="24"/>
              </w:rPr>
              <w:t>专业拟接收人数</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rPr>
              <w:t>水利工程学院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港口航道与海岸工程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85</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9</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9</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水利水电工程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122</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12</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水文与水资源工程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77</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8</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8</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水务工程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92</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9</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9</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农业资源与环境</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80</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8</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8</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rPr>
              <w:t>土木工程学院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测绘工程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74</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7</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7</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地质工程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74</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7</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7</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给排水科学与工程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93</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9</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9</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交通工程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74</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7</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7</w:t>
            </w:r>
          </w:p>
        </w:tc>
      </w:tr>
      <w:tr>
        <w:tblPrEx>
          <w:tblCellMar>
            <w:top w:w="0" w:type="dxa"/>
            <w:left w:w="108" w:type="dxa"/>
            <w:bottom w:w="0" w:type="dxa"/>
            <w:right w:w="108" w:type="dxa"/>
          </w:tblCellMar>
        </w:tblPrEx>
        <w:trPr>
          <w:gridAfter w:val="1"/>
          <w:wAfter w:w="8425" w:type="dxa"/>
          <w:trHeight w:val="90"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土木工程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125</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13</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安全工程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79</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8</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8</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rPr>
              <w:t>电气信息工程学院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电气工程及其自动化</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149</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15</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15</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bCs/>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计算机科学与技术</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173</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17</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17</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bCs/>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通信工程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125</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13</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cs="宋体"/>
                <w:bCs/>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自动化</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124</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12</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rPr>
              <w:t>机械工程学院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车辆工程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108</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11</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机械工程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154</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15</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15</w:t>
            </w:r>
            <w:bookmarkStart w:id="0" w:name="_GoBack"/>
            <w:bookmarkEnd w:id="0"/>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能源与动力工程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106</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11</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新能源科学与工程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115</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12</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汽车服务工程</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78</w:t>
            </w:r>
          </w:p>
        </w:tc>
        <w:tc>
          <w:tcPr>
            <w:tcW w:w="1418"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sz w:val="22"/>
                <w:lang w:val="en-US" w:eastAsia="zh-CN"/>
              </w:rPr>
            </w:pPr>
            <w:r>
              <w:rPr>
                <w:rFonts w:hint="eastAsia" w:ascii="宋体" w:hAnsi="宋体" w:cs="宋体"/>
                <w:color w:val="000000"/>
                <w:sz w:val="22"/>
                <w:lang w:val="en-US" w:eastAsia="zh-CN"/>
              </w:rPr>
              <w:t>8</w:t>
            </w:r>
          </w:p>
        </w:tc>
        <w:tc>
          <w:tcPr>
            <w:tcW w:w="1417" w:type="dxa"/>
            <w:tcBorders>
              <w:top w:val="nil"/>
              <w:left w:val="nil"/>
              <w:bottom w:val="single" w:color="auto" w:sz="4" w:space="0"/>
              <w:right w:val="single" w:color="auto" w:sz="4" w:space="0"/>
            </w:tcBorders>
            <w:vAlign w:val="bottom"/>
          </w:tcPr>
          <w:p>
            <w:pPr>
              <w:jc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8</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lang w:eastAsia="zh-CN"/>
              </w:rPr>
              <w:t>财经</w:t>
            </w:r>
            <w:r>
              <w:rPr>
                <w:rFonts w:hint="eastAsia" w:ascii="宋体" w:hAnsi="宋体"/>
                <w:sz w:val="24"/>
              </w:rPr>
              <w:t>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财务管理</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125</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13</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hint="eastAsia" w:ascii="宋体" w:hAnsi="宋体" w:eastAsiaTheme="minorEastAsia"/>
                <w:sz w:val="24"/>
                <w:lang w:eastAsia="zh-CN"/>
              </w:rPr>
            </w:pPr>
            <w:r>
              <w:rPr>
                <w:rFonts w:hint="eastAsia" w:ascii="宋体" w:hAnsi="宋体"/>
                <w:sz w:val="24"/>
              </w:rPr>
              <w:t>国际经济与贸易</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118</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12</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hint="eastAsia" w:ascii="宋体" w:hAnsi="宋体" w:eastAsiaTheme="minorEastAsia"/>
                <w:sz w:val="24"/>
                <w:lang w:eastAsia="zh-CN"/>
              </w:rPr>
            </w:pPr>
            <w:r>
              <w:rPr>
                <w:rFonts w:hint="eastAsia" w:ascii="宋体" w:hAnsi="宋体"/>
                <w:sz w:val="24"/>
              </w:rPr>
              <w:t>会计学</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137</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14</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14</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single" w:color="auto" w:sz="4" w:space="0"/>
              <w:left w:val="single" w:color="auto" w:sz="4" w:space="0"/>
              <w:right w:val="single" w:color="auto" w:sz="4" w:space="0"/>
            </w:tcBorders>
            <w:vAlign w:val="center"/>
          </w:tcPr>
          <w:p>
            <w:pPr>
              <w:jc w:val="center"/>
              <w:rPr>
                <w:rFonts w:hint="eastAsia" w:ascii="宋体" w:hAnsi="宋体" w:cs="宋体" w:eastAsiaTheme="minorEastAsia"/>
                <w:sz w:val="24"/>
                <w:lang w:eastAsia="zh-CN"/>
              </w:rPr>
            </w:pPr>
            <w:r>
              <w:rPr>
                <w:rFonts w:hint="eastAsia" w:ascii="宋体" w:hAnsi="宋体" w:cs="宋体"/>
                <w:sz w:val="24"/>
                <w:lang w:eastAsia="zh-CN"/>
              </w:rPr>
              <w:t>管理学院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工程管理</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148</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15</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15</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center"/>
          </w:tcPr>
          <w:p>
            <w:pPr>
              <w:jc w:val="center"/>
              <w:rPr>
                <w:rFonts w:hint="eastAsia" w:ascii="宋体" w:hAnsi="宋体" w:cs="宋体"/>
                <w:sz w:val="24"/>
                <w:lang w:eastAsia="zh-CN"/>
              </w:rPr>
            </w:pPr>
          </w:p>
        </w:tc>
        <w:tc>
          <w:tcPr>
            <w:tcW w:w="2551" w:type="dxa"/>
            <w:tcBorders>
              <w:top w:val="nil"/>
              <w:left w:val="nil"/>
              <w:bottom w:val="single" w:color="auto" w:sz="4" w:space="0"/>
              <w:right w:val="single" w:color="auto" w:sz="4" w:space="0"/>
            </w:tcBorders>
            <w:vAlign w:val="bottom"/>
          </w:tcPr>
          <w:p>
            <w:pPr>
              <w:jc w:val="center"/>
              <w:rPr>
                <w:rFonts w:hint="eastAsia" w:ascii="宋体" w:hAnsi="宋体"/>
                <w:sz w:val="24"/>
              </w:rPr>
            </w:pPr>
            <w:r>
              <w:rPr>
                <w:rFonts w:hint="eastAsia" w:ascii="宋体" w:hAnsi="宋体"/>
                <w:sz w:val="24"/>
              </w:rPr>
              <w:t>健康服务与管理</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color w:val="000000"/>
                <w:sz w:val="22"/>
                <w:lang w:val="en-US" w:eastAsia="zh-CN"/>
              </w:rPr>
            </w:pPr>
            <w:r>
              <w:rPr>
                <w:rFonts w:hint="eastAsia" w:ascii="宋体" w:hAnsi="宋体" w:cs="宋体"/>
                <w:color w:val="000000"/>
                <w:sz w:val="22"/>
                <w:lang w:val="en-US" w:eastAsia="zh-CN"/>
              </w:rPr>
              <w:t>97</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10</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10</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jc w:val="cente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工程造价</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133</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13</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jc w:val="cente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酒店管理</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110</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11</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right w:val="single" w:color="auto" w:sz="4" w:space="0"/>
            </w:tcBorders>
            <w:vAlign w:val="bottom"/>
          </w:tcPr>
          <w:p>
            <w:pPr>
              <w:jc w:val="cente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人力资源管理</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117</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12</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jc w:val="cente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信息管理与信息系统</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125</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13</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13</w:t>
            </w:r>
          </w:p>
        </w:tc>
      </w:tr>
      <w:tr>
        <w:tblPrEx>
          <w:tblCellMar>
            <w:top w:w="0" w:type="dxa"/>
            <w:left w:w="108" w:type="dxa"/>
            <w:bottom w:w="0" w:type="dxa"/>
            <w:right w:w="108" w:type="dxa"/>
          </w:tblCellMar>
        </w:tblPrEx>
        <w:trPr>
          <w:gridAfter w:val="1"/>
          <w:wAfter w:w="8425" w:type="dxa"/>
          <w:trHeight w:val="45" w:hRule="atLeast"/>
        </w:trPr>
        <w:tc>
          <w:tcPr>
            <w:tcW w:w="2000" w:type="dxa"/>
            <w:vMerge w:val="restart"/>
            <w:tcBorders>
              <w:top w:val="nil"/>
              <w:left w:val="single" w:color="auto" w:sz="4" w:space="0"/>
              <w:right w:val="single" w:color="auto" w:sz="4" w:space="0"/>
            </w:tcBorders>
            <w:vAlign w:val="center"/>
          </w:tcPr>
          <w:p>
            <w:pPr>
              <w:jc w:val="center"/>
              <w:rPr>
                <w:rFonts w:ascii="宋体" w:hAnsi="宋体" w:cs="宋体"/>
                <w:sz w:val="24"/>
              </w:rPr>
            </w:pPr>
            <w:r>
              <w:rPr>
                <w:rFonts w:hint="eastAsia" w:ascii="宋体" w:hAnsi="宋体"/>
                <w:sz w:val="24"/>
              </w:rPr>
              <w:t>艺术设计学院</w:t>
            </w: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环境设计</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111</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11</w:t>
            </w:r>
          </w:p>
        </w:tc>
      </w:tr>
      <w:tr>
        <w:tblPrEx>
          <w:tblCellMar>
            <w:top w:w="0" w:type="dxa"/>
            <w:left w:w="108" w:type="dxa"/>
            <w:bottom w:w="0" w:type="dxa"/>
            <w:right w:w="108" w:type="dxa"/>
          </w:tblCellMar>
        </w:tblPrEx>
        <w:trPr>
          <w:gridAfter w:val="1"/>
          <w:wAfter w:w="8425" w:type="dxa"/>
          <w:trHeight w:val="45" w:hRule="atLeast"/>
        </w:trPr>
        <w:tc>
          <w:tcPr>
            <w:tcW w:w="2000" w:type="dxa"/>
            <w:vMerge w:val="continue"/>
            <w:tcBorders>
              <w:left w:val="single" w:color="auto" w:sz="4" w:space="0"/>
              <w:bottom w:val="single" w:color="auto" w:sz="4" w:space="0"/>
              <w:right w:val="single" w:color="auto" w:sz="4" w:space="0"/>
            </w:tcBorders>
            <w:vAlign w:val="bottom"/>
          </w:tcPr>
          <w:p>
            <w:pPr>
              <w:rPr>
                <w:rFonts w:ascii="宋体" w:hAnsi="宋体" w:cs="宋体"/>
                <w:sz w:val="24"/>
              </w:rPr>
            </w:pPr>
          </w:p>
        </w:tc>
        <w:tc>
          <w:tcPr>
            <w:tcW w:w="2551" w:type="dxa"/>
            <w:tcBorders>
              <w:top w:val="nil"/>
              <w:left w:val="nil"/>
              <w:bottom w:val="single" w:color="auto" w:sz="4" w:space="0"/>
              <w:right w:val="single" w:color="auto" w:sz="4" w:space="0"/>
            </w:tcBorders>
            <w:vAlign w:val="bottom"/>
          </w:tcPr>
          <w:p>
            <w:pPr>
              <w:jc w:val="center"/>
              <w:rPr>
                <w:rFonts w:ascii="宋体" w:hAnsi="宋体"/>
                <w:sz w:val="24"/>
              </w:rPr>
            </w:pPr>
            <w:r>
              <w:rPr>
                <w:rFonts w:hint="eastAsia" w:ascii="宋体" w:hAnsi="宋体"/>
                <w:sz w:val="24"/>
              </w:rPr>
              <w:t>数字媒体艺术</w:t>
            </w:r>
          </w:p>
        </w:tc>
        <w:tc>
          <w:tcPr>
            <w:tcW w:w="122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111</w:t>
            </w:r>
          </w:p>
        </w:tc>
        <w:tc>
          <w:tcPr>
            <w:tcW w:w="1418"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sz w:val="22"/>
                <w:lang w:val="en-US" w:eastAsia="zh-CN"/>
              </w:rPr>
            </w:pPr>
            <w:r>
              <w:rPr>
                <w:rFonts w:hint="eastAsia" w:ascii="宋体" w:hAnsi="宋体" w:cs="宋体"/>
                <w:color w:val="000000"/>
                <w:sz w:val="22"/>
                <w:lang w:val="en-US" w:eastAsia="zh-CN"/>
              </w:rPr>
              <w:t>11</w:t>
            </w:r>
          </w:p>
        </w:tc>
        <w:tc>
          <w:tcPr>
            <w:tcW w:w="1417" w:type="dxa"/>
            <w:tcBorders>
              <w:top w:val="nil"/>
              <w:left w:val="nil"/>
              <w:bottom w:val="single" w:color="auto" w:sz="4" w:space="0"/>
              <w:right w:val="single" w:color="auto" w:sz="4" w:space="0"/>
            </w:tcBorders>
            <w:vAlign w:val="bottom"/>
          </w:tcPr>
          <w:p>
            <w:pPr>
              <w:jc w:val="center"/>
              <w:rPr>
                <w:rFonts w:hint="default" w:ascii="宋体" w:hAnsi="宋体" w:cs="宋体" w:eastAsiaTheme="minorEastAsia"/>
                <w:color w:val="000000"/>
                <w:kern w:val="2"/>
                <w:sz w:val="22"/>
                <w:szCs w:val="22"/>
                <w:lang w:val="en-US" w:eastAsia="zh-CN" w:bidi="ar-SA"/>
              </w:rPr>
            </w:pPr>
            <w:r>
              <w:rPr>
                <w:rFonts w:hint="eastAsia" w:ascii="宋体" w:hAnsi="宋体" w:cs="宋体"/>
                <w:color w:val="000000"/>
                <w:sz w:val="22"/>
                <w:lang w:val="en-US" w:eastAsia="zh-CN"/>
              </w:rPr>
              <w:t>11</w:t>
            </w:r>
          </w:p>
        </w:tc>
      </w:tr>
      <w:tr>
        <w:tblPrEx>
          <w:tblCellMar>
            <w:top w:w="0" w:type="dxa"/>
            <w:left w:w="108" w:type="dxa"/>
            <w:bottom w:w="0" w:type="dxa"/>
            <w:right w:w="108" w:type="dxa"/>
          </w:tblCellMar>
        </w:tblPrEx>
        <w:trPr>
          <w:trHeight w:val="45" w:hRule="atLeast"/>
        </w:trPr>
        <w:tc>
          <w:tcPr>
            <w:tcW w:w="45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仿宋_GB2312"/>
                <w:b/>
                <w:bCs/>
                <w:kern w:val="0"/>
                <w:sz w:val="24"/>
              </w:rPr>
            </w:pPr>
            <w:r>
              <w:rPr>
                <w:rFonts w:hint="eastAsia" w:ascii="宋体" w:hAnsi="宋体" w:cs="仿宋_GB2312"/>
                <w:b/>
                <w:bCs/>
                <w:kern w:val="0"/>
                <w:sz w:val="24"/>
              </w:rPr>
              <w:t>合计</w:t>
            </w:r>
          </w:p>
        </w:tc>
        <w:tc>
          <w:tcPr>
            <w:tcW w:w="1227" w:type="dxa"/>
            <w:tcBorders>
              <w:top w:val="nil"/>
              <w:left w:val="nil"/>
              <w:bottom w:val="single" w:color="auto" w:sz="4" w:space="0"/>
              <w:right w:val="single" w:color="auto" w:sz="4" w:space="0"/>
            </w:tcBorders>
            <w:vAlign w:val="center"/>
          </w:tcPr>
          <w:p>
            <w:pPr>
              <w:jc w:val="center"/>
              <w:rPr>
                <w:rFonts w:hint="default" w:ascii="宋体" w:hAnsi="宋体" w:eastAsiaTheme="minorEastAsia"/>
                <w:sz w:val="24"/>
                <w:lang w:val="en-US" w:eastAsia="zh-CN"/>
              </w:rPr>
            </w:pPr>
            <w:r>
              <w:rPr>
                <w:rFonts w:hint="eastAsia" w:ascii="宋体" w:hAnsi="宋体"/>
                <w:sz w:val="24"/>
                <w:lang w:val="en-US" w:eastAsia="zh-CN"/>
              </w:rPr>
              <w:t>3450</w:t>
            </w:r>
          </w:p>
        </w:tc>
        <w:tc>
          <w:tcPr>
            <w:tcW w:w="1418" w:type="dxa"/>
            <w:tcBorders>
              <w:top w:val="nil"/>
              <w:left w:val="nil"/>
              <w:bottom w:val="single" w:color="auto" w:sz="4" w:space="0"/>
              <w:right w:val="single" w:color="auto" w:sz="4" w:space="0"/>
            </w:tcBorders>
            <w:vAlign w:val="center"/>
          </w:tcPr>
          <w:p>
            <w:pPr>
              <w:jc w:val="center"/>
              <w:rPr>
                <w:rFonts w:hint="default" w:ascii="宋体" w:hAnsi="宋体" w:eastAsiaTheme="minorEastAsia"/>
                <w:sz w:val="24"/>
                <w:lang w:val="en-US" w:eastAsia="zh-CN"/>
              </w:rPr>
            </w:pPr>
            <w:r>
              <w:rPr>
                <w:rFonts w:hint="eastAsia" w:ascii="宋体" w:hAnsi="宋体"/>
                <w:sz w:val="24"/>
                <w:lang w:val="en-US" w:eastAsia="zh-CN"/>
              </w:rPr>
              <w:t>346</w:t>
            </w:r>
          </w:p>
        </w:tc>
        <w:tc>
          <w:tcPr>
            <w:tcW w:w="1417" w:type="dxa"/>
            <w:tcBorders>
              <w:top w:val="nil"/>
              <w:left w:val="nil"/>
              <w:bottom w:val="single" w:color="auto" w:sz="4" w:space="0"/>
              <w:right w:val="single" w:color="auto" w:sz="4" w:space="0"/>
            </w:tcBorders>
            <w:vAlign w:val="center"/>
          </w:tcPr>
          <w:p>
            <w:pPr>
              <w:jc w:val="center"/>
              <w:rPr>
                <w:rFonts w:hint="default" w:ascii="宋体" w:hAnsi="宋体" w:eastAsiaTheme="minorEastAsia"/>
                <w:sz w:val="24"/>
                <w:lang w:val="en-US" w:eastAsia="zh-CN"/>
              </w:rPr>
            </w:pPr>
            <w:r>
              <w:rPr>
                <w:rFonts w:hint="eastAsia" w:ascii="宋体" w:hAnsi="宋体"/>
                <w:sz w:val="24"/>
                <w:lang w:val="en-US" w:eastAsia="zh-CN"/>
              </w:rPr>
              <w:t>346</w:t>
            </w:r>
          </w:p>
        </w:tc>
        <w:tc>
          <w:tcPr>
            <w:tcW w:w="8425" w:type="dxa"/>
          </w:tcPr>
          <w:p>
            <w:pPr>
              <w:rPr>
                <w:rFonts w:ascii="宋体" w:hAnsi="宋体"/>
                <w:sz w:val="28"/>
                <w:szCs w:val="28"/>
              </w:rPr>
            </w:pPr>
          </w:p>
        </w:tc>
      </w:tr>
    </w:tbl>
    <w:p>
      <w:pPr>
        <w:spacing w:line="480" w:lineRule="exact"/>
        <w:ind w:firstLine="600" w:firstLineChars="200"/>
        <w:rPr>
          <w:rFonts w:ascii="仿宋" w:hAnsi="仿宋" w:eastAsia="仿宋" w:cs="Times New Roman"/>
          <w:sz w:val="30"/>
          <w:szCs w:val="30"/>
        </w:rPr>
      </w:pPr>
    </w:p>
    <w:p>
      <w:pPr>
        <w:ind w:firstLine="420" w:firstLineChars="200"/>
        <w:rPr>
          <w:rFonts w:ascii="Calibri" w:hAnsi="Calibri" w:eastAsia="宋体" w:cs="Times New Roman"/>
        </w:rPr>
      </w:pPr>
    </w:p>
    <w:p>
      <w:pPr>
        <w:spacing w:line="480" w:lineRule="exact"/>
        <w:ind w:firstLine="600" w:firstLineChars="200"/>
        <w:rPr>
          <w:rFonts w:ascii="黑体" w:hAnsi="黑体" w:eastAsia="黑体"/>
          <w:sz w:val="30"/>
          <w:szCs w:val="30"/>
        </w:rPr>
      </w:pPr>
      <w:r>
        <w:rPr>
          <w:rFonts w:hint="eastAsia" w:ascii="黑体" w:hAnsi="黑体" w:eastAsia="黑体"/>
          <w:sz w:val="30"/>
          <w:szCs w:val="30"/>
        </w:rPr>
        <w:t>二、面试时间、地点</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面试时间：202</w:t>
      </w:r>
      <w:r>
        <w:rPr>
          <w:rFonts w:hint="eastAsia" w:ascii="仿宋" w:hAnsi="仿宋" w:eastAsia="仿宋"/>
          <w:sz w:val="30"/>
          <w:szCs w:val="30"/>
          <w:lang w:val="en-US" w:eastAsia="zh-CN"/>
        </w:rPr>
        <w:t>1</w:t>
      </w:r>
      <w:r>
        <w:rPr>
          <w:rFonts w:hint="eastAsia" w:ascii="仿宋" w:hAnsi="仿宋" w:eastAsia="仿宋"/>
          <w:sz w:val="30"/>
          <w:szCs w:val="30"/>
        </w:rPr>
        <w:t>年7月1</w:t>
      </w:r>
      <w:r>
        <w:rPr>
          <w:rFonts w:hint="eastAsia" w:ascii="仿宋" w:hAnsi="仿宋" w:eastAsia="仿宋"/>
          <w:sz w:val="30"/>
          <w:szCs w:val="30"/>
          <w:lang w:val="en-US" w:eastAsia="zh-CN"/>
        </w:rPr>
        <w:t>4</w:t>
      </w:r>
      <w:r>
        <w:rPr>
          <w:rFonts w:hint="eastAsia" w:ascii="仿宋" w:hAnsi="仿宋" w:eastAsia="仿宋"/>
          <w:sz w:val="30"/>
          <w:szCs w:val="30"/>
        </w:rPr>
        <w:t>日</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候考、抽签与面试地点由各二级学院自行安排</w:t>
      </w:r>
    </w:p>
    <w:p>
      <w:pPr>
        <w:spacing w:line="480" w:lineRule="exact"/>
        <w:ind w:firstLine="600" w:firstLineChars="200"/>
        <w:rPr>
          <w:rFonts w:ascii="黑体" w:hAnsi="黑体" w:eastAsia="黑体"/>
          <w:sz w:val="30"/>
          <w:szCs w:val="30"/>
        </w:rPr>
      </w:pPr>
      <w:r>
        <w:rPr>
          <w:rFonts w:hint="eastAsia" w:ascii="黑体" w:hAnsi="黑体" w:eastAsia="黑体"/>
          <w:sz w:val="30"/>
          <w:szCs w:val="30"/>
        </w:rPr>
        <w:t>三、面试评委组成要求</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（一）各二级学院组织成立转专业面试工作组，负责笔试通过学生的面试组织工作。面试小组由4-5人组成，由二级学院院长担任组长，负责教学工作、学生工作的二级学院领导和老师参加。</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（二）各二级学院安排面试工作人员，负责面试工作的组织、协调、登分、核分工作。</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（三）校纪委安排工作人员，全程监督各二级学院面试工作。</w:t>
      </w:r>
    </w:p>
    <w:p>
      <w:pPr>
        <w:spacing w:line="480" w:lineRule="exact"/>
        <w:ind w:firstLine="600" w:firstLineChars="200"/>
        <w:rPr>
          <w:rFonts w:ascii="黑体" w:hAnsi="黑体" w:eastAsia="黑体"/>
          <w:sz w:val="30"/>
          <w:szCs w:val="30"/>
        </w:rPr>
      </w:pPr>
      <w:r>
        <w:rPr>
          <w:rFonts w:hint="eastAsia" w:ascii="黑体" w:hAnsi="黑体" w:eastAsia="黑体"/>
          <w:sz w:val="30"/>
          <w:szCs w:val="30"/>
        </w:rPr>
        <w:t>四、面试流程及评分标准</w:t>
      </w:r>
    </w:p>
    <w:p>
      <w:pPr>
        <w:spacing w:line="480" w:lineRule="exact"/>
        <w:ind w:firstLine="602" w:firstLineChars="200"/>
        <w:rPr>
          <w:rFonts w:ascii="仿宋" w:hAnsi="仿宋" w:eastAsia="仿宋"/>
          <w:b/>
          <w:sz w:val="30"/>
          <w:szCs w:val="30"/>
        </w:rPr>
      </w:pPr>
      <w:r>
        <w:rPr>
          <w:rFonts w:hint="eastAsia" w:ascii="仿宋" w:hAnsi="仿宋" w:eastAsia="仿宋"/>
          <w:b/>
          <w:sz w:val="30"/>
          <w:szCs w:val="30"/>
        </w:rPr>
        <w:t>（一）面试流程</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1、教务部根据笔试成绩排名通知进入面试环节的学生参加面试。</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2、参加面试的学生按照规定的时间、地点到各二级学院签到、抽签，学生按照抽签序号候考、面试。具体面试流程由各二级学院自行安排。</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3、面试专家根据学生表现打分，工作人员对各评委打分进行汇总，取总分的平均分作为该生面试最后成绩。</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4、各二级学院于7月1</w:t>
      </w:r>
      <w:r>
        <w:rPr>
          <w:rFonts w:hint="eastAsia" w:ascii="仿宋" w:hAnsi="仿宋" w:eastAsia="仿宋"/>
          <w:sz w:val="30"/>
          <w:szCs w:val="30"/>
          <w:lang w:val="en-US" w:eastAsia="zh-CN"/>
        </w:rPr>
        <w:t>4</w:t>
      </w:r>
      <w:r>
        <w:rPr>
          <w:rFonts w:hint="eastAsia" w:ascii="仿宋" w:hAnsi="仿宋" w:eastAsia="仿宋"/>
          <w:sz w:val="30"/>
          <w:szCs w:val="30"/>
        </w:rPr>
        <w:t>日将面试原始打分表、面试成绩汇总表报教务部F</w:t>
      </w:r>
      <w:r>
        <w:rPr>
          <w:rFonts w:hint="eastAsia" w:ascii="仿宋" w:hAnsi="仿宋" w:eastAsia="仿宋"/>
          <w:sz w:val="30"/>
          <w:szCs w:val="30"/>
          <w:lang w:val="en-US" w:eastAsia="zh-CN"/>
        </w:rPr>
        <w:t>203陈天豪</w:t>
      </w:r>
      <w:r>
        <w:rPr>
          <w:rFonts w:hint="eastAsia" w:ascii="仿宋" w:hAnsi="仿宋" w:eastAsia="仿宋"/>
          <w:sz w:val="30"/>
          <w:szCs w:val="30"/>
        </w:rPr>
        <w:t>汇总。</w:t>
      </w:r>
    </w:p>
    <w:p>
      <w:pPr>
        <w:spacing w:line="480" w:lineRule="exact"/>
        <w:ind w:firstLine="602" w:firstLineChars="200"/>
        <w:rPr>
          <w:rFonts w:ascii="仿宋" w:hAnsi="仿宋" w:eastAsia="仿宋"/>
          <w:b/>
          <w:sz w:val="30"/>
          <w:szCs w:val="30"/>
        </w:rPr>
      </w:pPr>
      <w:r>
        <w:rPr>
          <w:rFonts w:hint="eastAsia" w:ascii="仿宋" w:hAnsi="仿宋" w:eastAsia="仿宋"/>
          <w:b/>
          <w:sz w:val="30"/>
          <w:szCs w:val="30"/>
        </w:rPr>
        <w:t>（二）评分标准</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具体评分标准由各二级学院自行设定。面试采取学生陈述、面试专家提问等方式对进入面试的学生进行综合素质考核。每位考生一般先进行自我介绍，评委提问2-3个问题，面试时间为3-5分钟。问答结束后，评委根据考生回答问题情况和面试评分标准进行打分。重点考察学生的语言表达能力、精神面貌、逻辑思维能力、对拟转入专业的认识及学习计划等。</w:t>
      </w:r>
    </w:p>
    <w:p>
      <w:pPr>
        <w:spacing w:line="480" w:lineRule="exact"/>
        <w:ind w:firstLine="600" w:firstLineChars="200"/>
        <w:rPr>
          <w:rFonts w:ascii="黑体" w:hAnsi="黑体" w:eastAsia="黑体"/>
          <w:sz w:val="30"/>
          <w:szCs w:val="30"/>
        </w:rPr>
      </w:pPr>
      <w:r>
        <w:rPr>
          <w:rFonts w:hint="eastAsia" w:ascii="黑体" w:hAnsi="黑体" w:eastAsia="黑体"/>
          <w:sz w:val="30"/>
          <w:szCs w:val="30"/>
        </w:rPr>
        <w:t>五、其他要求</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（一）各二级学院成立面试工作领导小组，由二级学院院长担任组长，负责本院转专业面试工作。</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 xml:space="preserve">（二）转专业面试工作必须本着公开、公平、公正与择优选择的原则。各二级学院要根据学校转专业总体工作安排，制定好本单位面试工作的具体操作方案。面试过程中，全体评委、工作人员、监督员要严格遵守有关规定，密切配合，主动协调，防止各种失误现象的发生。 </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（三）在7月</w:t>
      </w:r>
      <w:r>
        <w:rPr>
          <w:rFonts w:hint="eastAsia" w:ascii="仿宋" w:hAnsi="仿宋" w:eastAsia="仿宋"/>
          <w:sz w:val="30"/>
          <w:szCs w:val="30"/>
          <w:lang w:val="en-US" w:eastAsia="zh-CN"/>
        </w:rPr>
        <w:t>2</w:t>
      </w:r>
      <w:r>
        <w:rPr>
          <w:rFonts w:hint="eastAsia" w:ascii="仿宋" w:hAnsi="仿宋" w:eastAsia="仿宋"/>
          <w:sz w:val="30"/>
          <w:szCs w:val="30"/>
        </w:rPr>
        <w:t>日之前将面试工作安排表（附件1）及具体面试操作方案交至教务部。</w:t>
      </w:r>
    </w:p>
    <w:p>
      <w:pPr>
        <w:spacing w:line="480" w:lineRule="exact"/>
        <w:ind w:firstLine="600" w:firstLineChars="200"/>
        <w:rPr>
          <w:rFonts w:ascii="仿宋" w:hAnsi="仿宋" w:eastAsia="仿宋"/>
          <w:sz w:val="30"/>
          <w:szCs w:val="30"/>
        </w:rPr>
      </w:pPr>
    </w:p>
    <w:p>
      <w:pPr>
        <w:spacing w:line="480" w:lineRule="exact"/>
        <w:ind w:firstLine="600" w:firstLineChars="200"/>
        <w:rPr>
          <w:rFonts w:ascii="仿宋" w:hAnsi="仿宋" w:eastAsia="仿宋"/>
          <w:sz w:val="30"/>
          <w:szCs w:val="30"/>
        </w:rPr>
      </w:pPr>
      <w:r>
        <w:rPr>
          <w:rFonts w:hint="eastAsia" w:ascii="仿宋" w:hAnsi="仿宋" w:eastAsia="仿宋"/>
          <w:sz w:val="30"/>
          <w:szCs w:val="30"/>
        </w:rPr>
        <w:t>附件：1、各二级学院面试工作组安排表</w:t>
      </w:r>
    </w:p>
    <w:p>
      <w:pPr>
        <w:rPr>
          <w:rFonts w:ascii="仿宋" w:hAnsi="仿宋" w:eastAsia="仿宋"/>
          <w:sz w:val="30"/>
          <w:szCs w:val="30"/>
        </w:rPr>
      </w:pPr>
    </w:p>
    <w:p>
      <w:pPr>
        <w:rPr>
          <w:rFonts w:ascii="仿宋" w:hAnsi="仿宋" w:eastAsia="仿宋"/>
          <w:sz w:val="30"/>
          <w:szCs w:val="30"/>
        </w:rPr>
      </w:pPr>
    </w:p>
    <w:p>
      <w:pPr>
        <w:rPr>
          <w:rFonts w:ascii="仿宋" w:hAnsi="仿宋" w:eastAsia="仿宋"/>
          <w:sz w:val="30"/>
          <w:szCs w:val="30"/>
        </w:rPr>
      </w:pPr>
      <w:r>
        <w:rPr>
          <w:rFonts w:hint="eastAsia" w:ascii="仿宋" w:hAnsi="仿宋" w:eastAsia="仿宋"/>
          <w:sz w:val="30"/>
          <w:szCs w:val="30"/>
        </w:rPr>
        <w:t>附件1</w:t>
      </w:r>
    </w:p>
    <w:p>
      <w:pPr>
        <w:ind w:firstLine="3220" w:firstLineChars="1150"/>
        <w:rPr>
          <w:sz w:val="28"/>
          <w:szCs w:val="28"/>
        </w:rPr>
      </w:pPr>
      <w:r>
        <w:rPr>
          <w:sz w:val="28"/>
          <w:szCs w:val="28"/>
        </w:rPr>
        <mc:AlternateContent>
          <mc:Choice Requires="wps">
            <w:drawing>
              <wp:anchor distT="0" distB="0" distL="114300" distR="114300" simplePos="0" relativeHeight="251659264" behindDoc="0" locked="0" layoutInCell="1" allowOverlap="1">
                <wp:simplePos x="0" y="0"/>
                <wp:positionH relativeFrom="column">
                  <wp:posOffset>971550</wp:posOffset>
                </wp:positionH>
                <wp:positionV relativeFrom="paragraph">
                  <wp:posOffset>259080</wp:posOffset>
                </wp:positionV>
                <wp:extent cx="1038225" cy="0"/>
                <wp:effectExtent l="0" t="0" r="0" b="0"/>
                <wp:wrapNone/>
                <wp:docPr id="1" name="自选图形 2"/>
                <wp:cNvGraphicFramePr/>
                <a:graphic xmlns:a="http://schemas.openxmlformats.org/drawingml/2006/main">
                  <a:graphicData uri="http://schemas.microsoft.com/office/word/2010/wordprocessingShape">
                    <wps:wsp>
                      <wps:cNvCnPr/>
                      <wps:spPr>
                        <a:xfrm>
                          <a:off x="0" y="0"/>
                          <a:ext cx="10382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76.5pt;margin-top:20.4pt;height:0pt;width:81.75pt;z-index:251659264;mso-width-relative:page;mso-height-relative:page;" filled="f" stroked="t" coordsize="21600,21600" o:gfxdata="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7h9MdcAAAAJAQAADwAAAAAAAAABACAAAAAiAAAAZHJzL2Rvd25yZXYueG1sUEsBAhQA&#10;FAAAAAgAh07iQEzn3hfzAQAA4wMAAA4AAAAAAAAAAQAgAAAAJgEAAGRycy9lMm9Eb2MueG1sUEsF&#10;BgAAAAAGAAYAWQEAAIsFAAAAAA==&#10;">
                <v:fill on="f" focussize="0,0"/>
                <v:stroke color="#000000" joinstyle="round"/>
                <v:imagedata o:title=""/>
                <o:lock v:ext="edit" aspectratio="f"/>
              </v:shape>
            </w:pict>
          </mc:Fallback>
        </mc:AlternateContent>
      </w:r>
      <w:r>
        <w:rPr>
          <w:rFonts w:hint="eastAsia"/>
          <w:sz w:val="28"/>
          <w:szCs w:val="28"/>
        </w:rPr>
        <w:t>(院)面试工作组安排表</w:t>
      </w:r>
    </w:p>
    <w:p>
      <w:pPr>
        <w:ind w:firstLine="3220" w:firstLineChars="1150"/>
        <w:rPr>
          <w:sz w:val="28"/>
          <w:szCs w:val="28"/>
        </w:rPr>
      </w:pPr>
    </w:p>
    <w:tbl>
      <w:tblPr>
        <w:tblStyle w:val="5"/>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58"/>
        <w:gridCol w:w="1401"/>
        <w:gridCol w:w="1457"/>
        <w:gridCol w:w="1402"/>
        <w:gridCol w:w="1402"/>
        <w:gridCol w:w="1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59" w:type="dxa"/>
            <w:gridSpan w:val="2"/>
          </w:tcPr>
          <w:p>
            <w:pPr>
              <w:rPr>
                <w:rFonts w:ascii="仿宋" w:hAnsi="仿宋" w:eastAsia="仿宋"/>
                <w:sz w:val="28"/>
                <w:szCs w:val="28"/>
              </w:rPr>
            </w:pPr>
            <w:r>
              <w:rPr>
                <w:rFonts w:hint="eastAsia" w:ascii="仿宋" w:hAnsi="仿宋" w:eastAsia="仿宋"/>
                <w:sz w:val="28"/>
                <w:szCs w:val="28"/>
              </w:rPr>
              <w:t>面试工作组组长</w:t>
            </w:r>
          </w:p>
        </w:tc>
        <w:tc>
          <w:tcPr>
            <w:tcW w:w="5663" w:type="dxa"/>
            <w:gridSpan w:val="4"/>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59" w:type="dxa"/>
            <w:gridSpan w:val="2"/>
            <w:vMerge w:val="restart"/>
          </w:tcPr>
          <w:p>
            <w:pPr>
              <w:rPr>
                <w:rFonts w:ascii="仿宋" w:hAnsi="仿宋" w:eastAsia="仿宋"/>
                <w:sz w:val="28"/>
                <w:szCs w:val="28"/>
              </w:rPr>
            </w:pPr>
            <w:r>
              <w:rPr>
                <w:rFonts w:hint="eastAsia" w:ascii="仿宋" w:hAnsi="仿宋" w:eastAsia="仿宋"/>
                <w:sz w:val="28"/>
                <w:szCs w:val="28"/>
              </w:rPr>
              <w:t>面试工作组评委</w:t>
            </w:r>
          </w:p>
        </w:tc>
        <w:tc>
          <w:tcPr>
            <w:tcW w:w="1457"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859" w:type="dxa"/>
            <w:gridSpan w:val="2"/>
            <w:vMerge w:val="continue"/>
          </w:tcPr>
          <w:p>
            <w:pPr>
              <w:rPr>
                <w:rFonts w:ascii="仿宋" w:hAnsi="仿宋" w:eastAsia="仿宋"/>
                <w:sz w:val="28"/>
                <w:szCs w:val="28"/>
              </w:rPr>
            </w:pPr>
          </w:p>
        </w:tc>
        <w:tc>
          <w:tcPr>
            <w:tcW w:w="1457"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8" w:hRule="atLeast"/>
        </w:trPr>
        <w:tc>
          <w:tcPr>
            <w:tcW w:w="1458" w:type="dxa"/>
          </w:tcPr>
          <w:p>
            <w:pPr>
              <w:rPr>
                <w:rFonts w:ascii="仿宋" w:hAnsi="仿宋" w:eastAsia="仿宋"/>
                <w:sz w:val="28"/>
                <w:szCs w:val="28"/>
              </w:rPr>
            </w:pPr>
            <w:r>
              <w:rPr>
                <w:rFonts w:hint="eastAsia" w:ascii="仿宋" w:hAnsi="仿宋" w:eastAsia="仿宋"/>
                <w:sz w:val="28"/>
                <w:szCs w:val="28"/>
              </w:rPr>
              <w:t>面试专业</w:t>
            </w:r>
          </w:p>
          <w:p>
            <w:pPr>
              <w:rPr>
                <w:rFonts w:ascii="仿宋" w:hAnsi="仿宋" w:eastAsia="仿宋"/>
                <w:sz w:val="28"/>
                <w:szCs w:val="28"/>
              </w:rPr>
            </w:pPr>
            <w:r>
              <w:rPr>
                <w:rFonts w:hint="eastAsia" w:ascii="仿宋" w:hAnsi="仿宋" w:eastAsia="仿宋"/>
                <w:sz w:val="28"/>
                <w:szCs w:val="28"/>
              </w:rPr>
              <w:t>（1）</w:t>
            </w:r>
          </w:p>
        </w:tc>
        <w:tc>
          <w:tcPr>
            <w:tcW w:w="1401" w:type="dxa"/>
          </w:tcPr>
          <w:p>
            <w:pPr>
              <w:rPr>
                <w:rFonts w:ascii="仿宋" w:hAnsi="仿宋" w:eastAsia="仿宋"/>
                <w:sz w:val="28"/>
                <w:szCs w:val="28"/>
              </w:rPr>
            </w:pPr>
          </w:p>
        </w:tc>
        <w:tc>
          <w:tcPr>
            <w:tcW w:w="1457" w:type="dxa"/>
          </w:tcPr>
          <w:p>
            <w:pPr>
              <w:rPr>
                <w:rFonts w:ascii="仿宋" w:hAnsi="仿宋" w:eastAsia="仿宋"/>
                <w:sz w:val="28"/>
                <w:szCs w:val="28"/>
              </w:rPr>
            </w:pPr>
            <w:r>
              <w:rPr>
                <w:rFonts w:hint="eastAsia" w:ascii="仿宋" w:hAnsi="仿宋" w:eastAsia="仿宋"/>
                <w:sz w:val="28"/>
                <w:szCs w:val="28"/>
              </w:rPr>
              <w:t>通知学生集合时间</w:t>
            </w: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r>
              <w:rPr>
                <w:rFonts w:hint="eastAsia" w:ascii="仿宋" w:hAnsi="仿宋" w:eastAsia="仿宋"/>
                <w:sz w:val="28"/>
                <w:szCs w:val="28"/>
              </w:rPr>
              <w:t>集合地点</w:t>
            </w: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8" w:hRule="atLeast"/>
        </w:trPr>
        <w:tc>
          <w:tcPr>
            <w:tcW w:w="1458" w:type="dxa"/>
          </w:tcPr>
          <w:p>
            <w:pPr>
              <w:rPr>
                <w:rFonts w:ascii="仿宋" w:hAnsi="仿宋" w:eastAsia="仿宋"/>
                <w:sz w:val="28"/>
                <w:szCs w:val="28"/>
              </w:rPr>
            </w:pPr>
            <w:r>
              <w:rPr>
                <w:rFonts w:hint="eastAsia" w:ascii="仿宋" w:hAnsi="仿宋" w:eastAsia="仿宋"/>
                <w:sz w:val="28"/>
                <w:szCs w:val="28"/>
              </w:rPr>
              <w:t>面试专业</w:t>
            </w:r>
          </w:p>
          <w:p>
            <w:pPr>
              <w:rPr>
                <w:rFonts w:ascii="仿宋" w:hAnsi="仿宋" w:eastAsia="仿宋"/>
                <w:sz w:val="28"/>
                <w:szCs w:val="28"/>
              </w:rPr>
            </w:pPr>
            <w:r>
              <w:rPr>
                <w:rFonts w:hint="eastAsia" w:ascii="仿宋" w:hAnsi="仿宋" w:eastAsia="仿宋"/>
                <w:sz w:val="28"/>
                <w:szCs w:val="28"/>
              </w:rPr>
              <w:t>（2）</w:t>
            </w:r>
          </w:p>
        </w:tc>
        <w:tc>
          <w:tcPr>
            <w:tcW w:w="1401" w:type="dxa"/>
          </w:tcPr>
          <w:p>
            <w:pPr>
              <w:rPr>
                <w:rFonts w:ascii="仿宋" w:hAnsi="仿宋" w:eastAsia="仿宋"/>
                <w:sz w:val="28"/>
                <w:szCs w:val="28"/>
              </w:rPr>
            </w:pPr>
          </w:p>
        </w:tc>
        <w:tc>
          <w:tcPr>
            <w:tcW w:w="1457" w:type="dxa"/>
          </w:tcPr>
          <w:p>
            <w:pPr>
              <w:rPr>
                <w:rFonts w:ascii="仿宋" w:hAnsi="仿宋" w:eastAsia="仿宋"/>
                <w:sz w:val="28"/>
                <w:szCs w:val="28"/>
              </w:rPr>
            </w:pPr>
            <w:r>
              <w:rPr>
                <w:rFonts w:hint="eastAsia" w:ascii="仿宋" w:hAnsi="仿宋" w:eastAsia="仿宋"/>
                <w:sz w:val="28"/>
                <w:szCs w:val="28"/>
              </w:rPr>
              <w:t>通知学生集合时间</w:t>
            </w: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r>
              <w:rPr>
                <w:rFonts w:hint="eastAsia" w:ascii="仿宋" w:hAnsi="仿宋" w:eastAsia="仿宋"/>
                <w:sz w:val="28"/>
                <w:szCs w:val="28"/>
              </w:rPr>
              <w:t>集合地点</w:t>
            </w: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8" w:hRule="atLeast"/>
        </w:trPr>
        <w:tc>
          <w:tcPr>
            <w:tcW w:w="1458" w:type="dxa"/>
          </w:tcPr>
          <w:p>
            <w:pPr>
              <w:rPr>
                <w:rFonts w:ascii="仿宋" w:hAnsi="仿宋" w:eastAsia="仿宋"/>
                <w:sz w:val="28"/>
                <w:szCs w:val="28"/>
              </w:rPr>
            </w:pPr>
            <w:r>
              <w:rPr>
                <w:rFonts w:hint="eastAsia" w:ascii="仿宋" w:hAnsi="仿宋" w:eastAsia="仿宋"/>
                <w:sz w:val="28"/>
                <w:szCs w:val="28"/>
              </w:rPr>
              <w:t>面试专业</w:t>
            </w:r>
          </w:p>
          <w:p>
            <w:pPr>
              <w:rPr>
                <w:rFonts w:ascii="仿宋" w:hAnsi="仿宋" w:eastAsia="仿宋"/>
                <w:sz w:val="28"/>
                <w:szCs w:val="28"/>
              </w:rPr>
            </w:pPr>
            <w:r>
              <w:rPr>
                <w:rFonts w:hint="eastAsia" w:ascii="仿宋" w:hAnsi="仿宋" w:eastAsia="仿宋"/>
                <w:sz w:val="28"/>
                <w:szCs w:val="28"/>
              </w:rPr>
              <w:t>（3）</w:t>
            </w:r>
          </w:p>
        </w:tc>
        <w:tc>
          <w:tcPr>
            <w:tcW w:w="1401" w:type="dxa"/>
          </w:tcPr>
          <w:p>
            <w:pPr>
              <w:rPr>
                <w:rFonts w:ascii="仿宋" w:hAnsi="仿宋" w:eastAsia="仿宋"/>
                <w:sz w:val="28"/>
                <w:szCs w:val="28"/>
              </w:rPr>
            </w:pPr>
          </w:p>
        </w:tc>
        <w:tc>
          <w:tcPr>
            <w:tcW w:w="1457" w:type="dxa"/>
          </w:tcPr>
          <w:p>
            <w:pPr>
              <w:rPr>
                <w:rFonts w:ascii="仿宋" w:hAnsi="仿宋" w:eastAsia="仿宋"/>
                <w:sz w:val="28"/>
                <w:szCs w:val="28"/>
              </w:rPr>
            </w:pPr>
            <w:r>
              <w:rPr>
                <w:rFonts w:hint="eastAsia" w:ascii="仿宋" w:hAnsi="仿宋" w:eastAsia="仿宋"/>
                <w:sz w:val="28"/>
                <w:szCs w:val="28"/>
              </w:rPr>
              <w:t>通知学生集合时间</w:t>
            </w: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r>
              <w:rPr>
                <w:rFonts w:hint="eastAsia" w:ascii="仿宋" w:hAnsi="仿宋" w:eastAsia="仿宋"/>
                <w:sz w:val="28"/>
                <w:szCs w:val="28"/>
              </w:rPr>
              <w:t>集合地点</w:t>
            </w: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8" w:hRule="atLeast"/>
        </w:trPr>
        <w:tc>
          <w:tcPr>
            <w:tcW w:w="1458" w:type="dxa"/>
          </w:tcPr>
          <w:p>
            <w:pPr>
              <w:rPr>
                <w:rFonts w:ascii="仿宋" w:hAnsi="仿宋" w:eastAsia="仿宋"/>
                <w:sz w:val="28"/>
                <w:szCs w:val="28"/>
              </w:rPr>
            </w:pPr>
            <w:r>
              <w:rPr>
                <w:rFonts w:hint="eastAsia" w:ascii="仿宋" w:hAnsi="仿宋" w:eastAsia="仿宋"/>
                <w:sz w:val="28"/>
                <w:szCs w:val="28"/>
              </w:rPr>
              <w:t>面试专业</w:t>
            </w:r>
          </w:p>
          <w:p>
            <w:pPr>
              <w:rPr>
                <w:rFonts w:ascii="仿宋" w:hAnsi="仿宋" w:eastAsia="仿宋"/>
                <w:sz w:val="28"/>
                <w:szCs w:val="28"/>
              </w:rPr>
            </w:pPr>
            <w:r>
              <w:rPr>
                <w:rFonts w:hint="eastAsia" w:ascii="仿宋" w:hAnsi="仿宋" w:eastAsia="仿宋"/>
                <w:sz w:val="28"/>
                <w:szCs w:val="28"/>
              </w:rPr>
              <w:t>（4）</w:t>
            </w:r>
          </w:p>
        </w:tc>
        <w:tc>
          <w:tcPr>
            <w:tcW w:w="1401" w:type="dxa"/>
          </w:tcPr>
          <w:p>
            <w:pPr>
              <w:rPr>
                <w:rFonts w:ascii="仿宋" w:hAnsi="仿宋" w:eastAsia="仿宋"/>
                <w:sz w:val="28"/>
                <w:szCs w:val="28"/>
              </w:rPr>
            </w:pPr>
          </w:p>
        </w:tc>
        <w:tc>
          <w:tcPr>
            <w:tcW w:w="1457" w:type="dxa"/>
          </w:tcPr>
          <w:p>
            <w:pPr>
              <w:rPr>
                <w:rFonts w:ascii="仿宋" w:hAnsi="仿宋" w:eastAsia="仿宋"/>
                <w:sz w:val="28"/>
                <w:szCs w:val="28"/>
              </w:rPr>
            </w:pPr>
            <w:r>
              <w:rPr>
                <w:rFonts w:hint="eastAsia" w:ascii="仿宋" w:hAnsi="仿宋" w:eastAsia="仿宋"/>
                <w:sz w:val="28"/>
                <w:szCs w:val="28"/>
              </w:rPr>
              <w:t>通知学生集合时间</w:t>
            </w: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r>
              <w:rPr>
                <w:rFonts w:hint="eastAsia" w:ascii="仿宋" w:hAnsi="仿宋" w:eastAsia="仿宋"/>
                <w:sz w:val="28"/>
                <w:szCs w:val="28"/>
              </w:rPr>
              <w:t>集合地点</w:t>
            </w:r>
          </w:p>
        </w:tc>
        <w:tc>
          <w:tcPr>
            <w:tcW w:w="1402" w:type="dxa"/>
          </w:tcPr>
          <w:p>
            <w:pPr>
              <w:rPr>
                <w:rFonts w:ascii="仿宋" w:hAnsi="仿宋" w:eastAsia="仿宋"/>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8" w:hRule="atLeast"/>
        </w:trPr>
        <w:tc>
          <w:tcPr>
            <w:tcW w:w="1458" w:type="dxa"/>
          </w:tcPr>
          <w:p>
            <w:pPr>
              <w:rPr>
                <w:rFonts w:ascii="仿宋" w:hAnsi="仿宋" w:eastAsia="仿宋"/>
                <w:sz w:val="28"/>
                <w:szCs w:val="28"/>
              </w:rPr>
            </w:pPr>
          </w:p>
        </w:tc>
        <w:tc>
          <w:tcPr>
            <w:tcW w:w="1401" w:type="dxa"/>
          </w:tcPr>
          <w:p>
            <w:pPr>
              <w:rPr>
                <w:rFonts w:ascii="仿宋" w:hAnsi="仿宋" w:eastAsia="仿宋"/>
                <w:sz w:val="28"/>
                <w:szCs w:val="28"/>
              </w:rPr>
            </w:pPr>
          </w:p>
        </w:tc>
        <w:tc>
          <w:tcPr>
            <w:tcW w:w="1457"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c>
          <w:tcPr>
            <w:tcW w:w="1402" w:type="dxa"/>
          </w:tcPr>
          <w:p>
            <w:pPr>
              <w:rPr>
                <w:rFonts w:ascii="仿宋" w:hAnsi="仿宋" w:eastAsia="仿宋"/>
                <w:sz w:val="28"/>
                <w:szCs w:val="28"/>
              </w:rPr>
            </w:pPr>
          </w:p>
        </w:tc>
      </w:tr>
    </w:tbl>
    <w:p>
      <w:pPr>
        <w:ind w:firstLine="3220" w:firstLineChars="1150"/>
        <w:rPr>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8ED"/>
    <w:rsid w:val="0001128B"/>
    <w:rsid w:val="00046F42"/>
    <w:rsid w:val="000A114D"/>
    <w:rsid w:val="00106440"/>
    <w:rsid w:val="001458FC"/>
    <w:rsid w:val="001F26BE"/>
    <w:rsid w:val="0023515B"/>
    <w:rsid w:val="00244660"/>
    <w:rsid w:val="0029652B"/>
    <w:rsid w:val="002F1ECC"/>
    <w:rsid w:val="0030311F"/>
    <w:rsid w:val="003409D1"/>
    <w:rsid w:val="00340D3E"/>
    <w:rsid w:val="003571BF"/>
    <w:rsid w:val="00374731"/>
    <w:rsid w:val="00383439"/>
    <w:rsid w:val="004549F5"/>
    <w:rsid w:val="00527C93"/>
    <w:rsid w:val="00533E4E"/>
    <w:rsid w:val="005671EE"/>
    <w:rsid w:val="00594048"/>
    <w:rsid w:val="005C5261"/>
    <w:rsid w:val="005F4BF2"/>
    <w:rsid w:val="006B2E87"/>
    <w:rsid w:val="006E7003"/>
    <w:rsid w:val="007662CD"/>
    <w:rsid w:val="0077289D"/>
    <w:rsid w:val="007807A6"/>
    <w:rsid w:val="007B0C72"/>
    <w:rsid w:val="007B7EB3"/>
    <w:rsid w:val="008F2948"/>
    <w:rsid w:val="008F7AAD"/>
    <w:rsid w:val="00965606"/>
    <w:rsid w:val="009675E1"/>
    <w:rsid w:val="009B133D"/>
    <w:rsid w:val="00A4178A"/>
    <w:rsid w:val="00A5546C"/>
    <w:rsid w:val="00AB38ED"/>
    <w:rsid w:val="00AE56B8"/>
    <w:rsid w:val="00AF4C5E"/>
    <w:rsid w:val="00B41FE4"/>
    <w:rsid w:val="00B4436B"/>
    <w:rsid w:val="00BF12D1"/>
    <w:rsid w:val="00D63C2D"/>
    <w:rsid w:val="00D917B5"/>
    <w:rsid w:val="00DC7B1F"/>
    <w:rsid w:val="00DE16C9"/>
    <w:rsid w:val="00DE73C9"/>
    <w:rsid w:val="00E11D4F"/>
    <w:rsid w:val="00E33E9C"/>
    <w:rsid w:val="00EA49FE"/>
    <w:rsid w:val="00EB0CB5"/>
    <w:rsid w:val="00EB6C61"/>
    <w:rsid w:val="00EF3178"/>
    <w:rsid w:val="00EF5BF9"/>
    <w:rsid w:val="0F1845D6"/>
    <w:rsid w:val="2860577A"/>
    <w:rsid w:val="2D301456"/>
    <w:rsid w:val="2DFC2292"/>
    <w:rsid w:val="3B9D2628"/>
    <w:rsid w:val="434F367B"/>
    <w:rsid w:val="47D56FAD"/>
    <w:rsid w:val="4DAE2057"/>
    <w:rsid w:val="69861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A99CA7-54C8-40B2-91D6-A71564E5C2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295</Words>
  <Characters>1684</Characters>
  <Lines>14</Lines>
  <Paragraphs>3</Paragraphs>
  <TotalTime>4</TotalTime>
  <ScaleCrop>false</ScaleCrop>
  <LinksUpToDate>false</LinksUpToDate>
  <CharactersWithSpaces>1976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2020-06-28T07:30:00Z</dcterms:created>
  <dc:creator>PC</dc:creator>
  <cp:lastModifiedBy>Joker</cp:lastModifiedBy>
  <dcterms:modified xsi:type="dcterms:W3CDTF">2021-05-31T06:50:37Z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63A5BA4EBA3946EC99D9714A0EC435C7</vt:lpwstr>
  </property>
</Properties>
</file>