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B9B25">
      <w:pPr>
        <w:keepNext w:val="0"/>
        <w:keepLines w:val="0"/>
        <w:pageBreakBefore w:val="0"/>
        <w:tabs>
          <w:tab w:val="left" w:pos="1722"/>
        </w:tabs>
        <w:kinsoku/>
        <w:wordWrap/>
        <w:overflowPunct/>
        <w:topLinePunct w:val="0"/>
        <w:autoSpaceDE/>
        <w:autoSpaceDN/>
        <w:bidi w:val="0"/>
        <w:adjustRightInd/>
        <w:snapToGrid w:val="0"/>
        <w:spacing w:line="640" w:lineRule="exact"/>
        <w:jc w:val="center"/>
        <w:textAlignment w:val="auto"/>
        <w:rPr>
          <w:rFonts w:hint="eastAsia" w:ascii="宋体" w:hAnsi="宋体"/>
          <w:bCs/>
          <w:snapToGrid w:val="0"/>
          <w:color w:val="000000"/>
          <w:kern w:val="0"/>
          <w:sz w:val="32"/>
          <w:szCs w:val="32"/>
        </w:rPr>
      </w:pPr>
    </w:p>
    <w:p w14:paraId="282BBF85">
      <w:pPr>
        <w:keepNext w:val="0"/>
        <w:keepLines w:val="0"/>
        <w:pageBreakBefore w:val="0"/>
        <w:tabs>
          <w:tab w:val="left" w:pos="1722"/>
        </w:tabs>
        <w:kinsoku/>
        <w:wordWrap/>
        <w:overflowPunct/>
        <w:topLinePunct w:val="0"/>
        <w:autoSpaceDE/>
        <w:autoSpaceDN/>
        <w:bidi w:val="0"/>
        <w:adjustRightInd/>
        <w:snapToGrid w:val="0"/>
        <w:spacing w:line="640" w:lineRule="exact"/>
        <w:jc w:val="center"/>
        <w:textAlignment w:val="auto"/>
        <w:rPr>
          <w:rFonts w:hint="eastAsia" w:ascii="宋体" w:hAnsi="宋体"/>
          <w:bCs/>
          <w:snapToGrid w:val="0"/>
          <w:color w:val="000000"/>
          <w:kern w:val="0"/>
          <w:sz w:val="32"/>
          <w:szCs w:val="32"/>
        </w:rPr>
      </w:pPr>
    </w:p>
    <w:p w14:paraId="315F2C6E">
      <w:pPr>
        <w:keepNext w:val="0"/>
        <w:keepLines w:val="0"/>
        <w:pageBreakBefore w:val="0"/>
        <w:tabs>
          <w:tab w:val="left" w:pos="1722"/>
        </w:tabs>
        <w:kinsoku/>
        <w:wordWrap/>
        <w:overflowPunct/>
        <w:topLinePunct w:val="0"/>
        <w:autoSpaceDE/>
        <w:autoSpaceDN/>
        <w:bidi w:val="0"/>
        <w:adjustRightInd/>
        <w:snapToGrid w:val="0"/>
        <w:spacing w:line="640" w:lineRule="exact"/>
        <w:jc w:val="center"/>
        <w:textAlignment w:val="auto"/>
        <w:rPr>
          <w:rFonts w:hint="eastAsia" w:ascii="宋体" w:hAnsi="宋体"/>
          <w:bCs/>
          <w:snapToGrid w:val="0"/>
          <w:color w:val="000000"/>
          <w:kern w:val="0"/>
          <w:sz w:val="32"/>
          <w:szCs w:val="32"/>
        </w:rPr>
      </w:pPr>
    </w:p>
    <w:p w14:paraId="2B384D02">
      <w:pPr>
        <w:keepNext w:val="0"/>
        <w:keepLines w:val="0"/>
        <w:pageBreakBefore w:val="0"/>
        <w:tabs>
          <w:tab w:val="left" w:pos="1722"/>
        </w:tabs>
        <w:kinsoku/>
        <w:wordWrap/>
        <w:overflowPunct/>
        <w:topLinePunct w:val="0"/>
        <w:autoSpaceDE/>
        <w:autoSpaceDN/>
        <w:bidi w:val="0"/>
        <w:adjustRightInd/>
        <w:snapToGrid w:val="0"/>
        <w:spacing w:line="640" w:lineRule="exact"/>
        <w:jc w:val="center"/>
        <w:textAlignment w:val="auto"/>
        <w:rPr>
          <w:rFonts w:hint="eastAsia" w:ascii="宋体" w:hAnsi="宋体"/>
          <w:bCs/>
          <w:snapToGrid w:val="0"/>
          <w:color w:val="000000"/>
          <w:kern w:val="0"/>
          <w:sz w:val="32"/>
          <w:szCs w:val="32"/>
        </w:rPr>
      </w:pPr>
    </w:p>
    <w:p w14:paraId="29EEFF6C">
      <w:pPr>
        <w:keepNext w:val="0"/>
        <w:keepLines w:val="0"/>
        <w:pageBreakBefore w:val="0"/>
        <w:tabs>
          <w:tab w:val="left" w:pos="1722"/>
        </w:tabs>
        <w:kinsoku/>
        <w:wordWrap/>
        <w:overflowPunct/>
        <w:topLinePunct w:val="0"/>
        <w:autoSpaceDE/>
        <w:autoSpaceDN/>
        <w:bidi w:val="0"/>
        <w:adjustRightInd/>
        <w:snapToGrid w:val="0"/>
        <w:spacing w:line="640" w:lineRule="exact"/>
        <w:textAlignment w:val="auto"/>
        <w:rPr>
          <w:rFonts w:hint="eastAsia" w:ascii="宋体" w:hAnsi="宋体"/>
          <w:bCs/>
          <w:snapToGrid w:val="0"/>
          <w:color w:val="000000"/>
          <w:kern w:val="0"/>
          <w:sz w:val="32"/>
          <w:szCs w:val="32"/>
        </w:rPr>
      </w:pPr>
    </w:p>
    <w:p w14:paraId="50C9A6D4">
      <w:pPr>
        <w:keepNext w:val="0"/>
        <w:keepLines w:val="0"/>
        <w:pageBreakBefore w:val="0"/>
        <w:tabs>
          <w:tab w:val="left" w:pos="1722"/>
        </w:tabs>
        <w:kinsoku/>
        <w:wordWrap/>
        <w:overflowPunct/>
        <w:topLinePunct w:val="0"/>
        <w:autoSpaceDE/>
        <w:autoSpaceDN/>
        <w:bidi w:val="0"/>
        <w:adjustRightInd/>
        <w:snapToGrid w:val="0"/>
        <w:spacing w:line="640" w:lineRule="exact"/>
        <w:textAlignment w:val="auto"/>
        <w:rPr>
          <w:rFonts w:hint="eastAsia" w:ascii="宋体" w:hAnsi="宋体"/>
          <w:bCs/>
          <w:snapToGrid w:val="0"/>
          <w:color w:val="000000"/>
          <w:kern w:val="0"/>
          <w:sz w:val="32"/>
          <w:szCs w:val="32"/>
        </w:rPr>
      </w:pPr>
    </w:p>
    <w:p w14:paraId="6311EFA0">
      <w:pPr>
        <w:keepNext w:val="0"/>
        <w:keepLines w:val="0"/>
        <w:pageBreakBefore w:val="0"/>
        <w:tabs>
          <w:tab w:val="left" w:pos="1722"/>
        </w:tabs>
        <w:kinsoku/>
        <w:wordWrap/>
        <w:overflowPunct/>
        <w:topLinePunct w:val="0"/>
        <w:autoSpaceDE/>
        <w:autoSpaceDN/>
        <w:bidi w:val="0"/>
        <w:adjustRightInd/>
        <w:snapToGrid w:val="0"/>
        <w:spacing w:line="640" w:lineRule="exact"/>
        <w:jc w:val="center"/>
        <w:textAlignment w:val="auto"/>
        <w:rPr>
          <w:rFonts w:ascii="仿宋_GB2312" w:eastAsia="仿宋_GB2312"/>
          <w:color w:val="FF0000"/>
          <w:sz w:val="32"/>
          <w:szCs w:val="32"/>
        </w:rPr>
      </w:pPr>
      <w:r>
        <w:rPr>
          <w:rFonts w:hint="eastAsia" w:ascii="仿宋" w:hAnsi="仿宋" w:eastAsia="仿宋" w:cs="仿宋"/>
          <w:sz w:val="32"/>
          <w:szCs w:val="32"/>
        </w:rPr>
        <w:t>皖工教发〔2026〕4</w:t>
      </w:r>
      <w:r>
        <w:rPr>
          <w:rFonts w:hint="eastAsia" w:ascii="仿宋" w:hAnsi="仿宋" w:eastAsia="仿宋" w:cs="仿宋"/>
          <w:sz w:val="32"/>
          <w:szCs w:val="32"/>
          <w:lang w:val="en-US" w:eastAsia="zh-CN"/>
        </w:rPr>
        <w:t>9</w:t>
      </w:r>
      <w:r>
        <w:rPr>
          <w:rFonts w:hint="eastAsia" w:ascii="仿宋" w:hAnsi="仿宋" w:eastAsia="仿宋" w:cs="仿宋"/>
          <w:sz w:val="32"/>
          <w:szCs w:val="32"/>
        </w:rPr>
        <w:t>号</w:t>
      </w:r>
    </w:p>
    <w:p w14:paraId="4222BA72">
      <w:pPr>
        <w:keepNext w:val="0"/>
        <w:keepLines w:val="0"/>
        <w:pageBreakBefore w:val="0"/>
        <w:tabs>
          <w:tab w:val="left" w:pos="1722"/>
        </w:tabs>
        <w:kinsoku/>
        <w:wordWrap/>
        <w:overflowPunct/>
        <w:topLinePunct w:val="0"/>
        <w:autoSpaceDE/>
        <w:autoSpaceDN/>
        <w:bidi w:val="0"/>
        <w:adjustRightInd/>
        <w:snapToGrid w:val="0"/>
        <w:spacing w:line="640" w:lineRule="exact"/>
        <w:textAlignment w:val="auto"/>
        <w:rPr>
          <w:rFonts w:hint="eastAsia" w:ascii="宋体" w:hAnsi="宋体" w:eastAsia="宋体" w:cs="Times New Roman"/>
          <w:bCs/>
          <w:snapToGrid w:val="0"/>
          <w:color w:val="000000"/>
          <w:kern w:val="0"/>
          <w:sz w:val="32"/>
          <w:szCs w:val="32"/>
        </w:rPr>
      </w:pPr>
    </w:p>
    <w:p w14:paraId="495781C7">
      <w:pPr>
        <w:keepNext w:val="0"/>
        <w:keepLines w:val="0"/>
        <w:pageBreakBefore w:val="0"/>
        <w:tabs>
          <w:tab w:val="left" w:pos="1722"/>
        </w:tabs>
        <w:kinsoku/>
        <w:wordWrap/>
        <w:overflowPunct/>
        <w:topLinePunct w:val="0"/>
        <w:autoSpaceDE/>
        <w:autoSpaceDN/>
        <w:bidi w:val="0"/>
        <w:adjustRightInd/>
        <w:snapToGrid w:val="0"/>
        <w:spacing w:line="640" w:lineRule="exact"/>
        <w:textAlignment w:val="auto"/>
        <w:rPr>
          <w:rFonts w:hint="eastAsia" w:ascii="宋体" w:hAnsi="宋体" w:eastAsia="宋体" w:cs="Times New Roman"/>
          <w:bCs/>
          <w:snapToGrid w:val="0"/>
          <w:color w:val="000000"/>
          <w:kern w:val="0"/>
          <w:sz w:val="32"/>
          <w:szCs w:val="32"/>
        </w:rPr>
      </w:pPr>
    </w:p>
    <w:p w14:paraId="5C92098C">
      <w:pPr>
        <w:keepNext w:val="0"/>
        <w:keepLines w:val="0"/>
        <w:pageBreakBefore w:val="0"/>
        <w:widowControl/>
        <w:kinsoku/>
        <w:wordWrap/>
        <w:overflowPunct/>
        <w:topLinePunct w:val="0"/>
        <w:autoSpaceDE/>
        <w:autoSpaceDN/>
        <w:bidi w:val="0"/>
        <w:adjustRightInd/>
        <w:spacing w:line="640" w:lineRule="exact"/>
        <w:jc w:val="center"/>
        <w:textAlignment w:val="auto"/>
        <w:rPr>
          <w:rFonts w:hint="eastAsia" w:ascii="宋体" w:hAnsi="宋体" w:eastAsia="宋体" w:cs="宋体"/>
          <w:b/>
          <w:bCs/>
          <w:color w:val="0D0D0D"/>
          <w:sz w:val="44"/>
          <w:szCs w:val="44"/>
          <w:shd w:val="clear" w:color="auto" w:fill="FFFFFF"/>
        </w:rPr>
      </w:pPr>
      <w:r>
        <w:rPr>
          <w:rFonts w:hint="eastAsia" w:ascii="宋体" w:hAnsi="宋体" w:eastAsia="宋体" w:cs="宋体"/>
          <w:b/>
          <w:bCs/>
          <w:color w:val="0D0D0D"/>
          <w:sz w:val="44"/>
          <w:szCs w:val="44"/>
          <w:shd w:val="clear" w:color="auto" w:fill="FFFFFF"/>
        </w:rPr>
        <w:t>关于举办安徽省大学生创新大赛</w:t>
      </w:r>
    </w:p>
    <w:p w14:paraId="38D57580">
      <w:pPr>
        <w:keepNext w:val="0"/>
        <w:keepLines w:val="0"/>
        <w:pageBreakBefore w:val="0"/>
        <w:widowControl/>
        <w:kinsoku/>
        <w:wordWrap/>
        <w:overflowPunct/>
        <w:topLinePunct w:val="0"/>
        <w:autoSpaceDE/>
        <w:autoSpaceDN/>
        <w:bidi w:val="0"/>
        <w:adjustRightInd/>
        <w:spacing w:line="640" w:lineRule="exact"/>
        <w:jc w:val="center"/>
        <w:textAlignment w:val="auto"/>
        <w:rPr>
          <w:rFonts w:hint="eastAsia" w:ascii="宋体" w:hAnsi="宋体" w:eastAsia="宋体" w:cs="宋体"/>
          <w:b/>
          <w:bCs/>
          <w:color w:val="0D0D0D"/>
          <w:sz w:val="44"/>
          <w:szCs w:val="44"/>
          <w:shd w:val="clear" w:color="auto" w:fill="FFFFFF"/>
        </w:rPr>
      </w:pPr>
      <w:r>
        <w:rPr>
          <w:rFonts w:hint="eastAsia" w:ascii="宋体" w:hAnsi="宋体" w:eastAsia="宋体" w:cs="宋体"/>
          <w:b/>
          <w:bCs/>
          <w:color w:val="0D0D0D"/>
          <w:sz w:val="44"/>
          <w:szCs w:val="44"/>
          <w:shd w:val="clear" w:color="auto" w:fill="FFFFFF"/>
        </w:rPr>
        <w:t>（2026）校级初赛的预通知</w:t>
      </w:r>
    </w:p>
    <w:p w14:paraId="7009916E">
      <w:pPr>
        <w:widowControl/>
        <w:spacing w:line="480" w:lineRule="exact"/>
        <w:ind w:firstLine="640"/>
        <w:rPr>
          <w:rFonts w:hint="eastAsia" w:ascii="仿宋" w:hAnsi="仿宋" w:eastAsia="仿宋" w:cs="仿宋"/>
          <w:b/>
          <w:bCs/>
          <w:color w:val="0D0D0D"/>
          <w:sz w:val="32"/>
          <w:szCs w:val="32"/>
          <w:shd w:val="clear" w:color="auto" w:fill="FFFFFF"/>
        </w:rPr>
      </w:pPr>
    </w:p>
    <w:p w14:paraId="3A1D1250">
      <w:pPr>
        <w:rPr>
          <w:rFonts w:hint="eastAsia" w:ascii="仿宋" w:hAnsi="仿宋" w:eastAsia="仿宋" w:cs="仿宋"/>
          <w:sz w:val="32"/>
          <w:szCs w:val="32"/>
        </w:rPr>
      </w:pPr>
      <w:r>
        <w:rPr>
          <w:rFonts w:hint="eastAsia" w:ascii="仿宋" w:hAnsi="仿宋" w:eastAsia="仿宋" w:cs="仿宋"/>
          <w:sz w:val="32"/>
          <w:szCs w:val="32"/>
        </w:rPr>
        <w:t>各</w:t>
      </w:r>
      <w:r>
        <w:rPr>
          <w:rFonts w:hint="eastAsia" w:ascii="仿宋" w:hAnsi="仿宋" w:eastAsia="仿宋" w:cs="仿宋"/>
          <w:sz w:val="32"/>
          <w:szCs w:val="32"/>
          <w:lang w:val="en-US" w:eastAsia="zh-CN"/>
        </w:rPr>
        <w:t>学院</w:t>
      </w:r>
      <w:bookmarkStart w:id="0" w:name="_GoBack"/>
      <w:bookmarkEnd w:id="0"/>
      <w:r>
        <w:rPr>
          <w:rFonts w:hint="eastAsia" w:ascii="仿宋" w:hAnsi="仿宋" w:eastAsia="仿宋" w:cs="仿宋"/>
          <w:sz w:val="32"/>
          <w:szCs w:val="32"/>
        </w:rPr>
        <w:t>、部门：</w:t>
      </w:r>
    </w:p>
    <w:p w14:paraId="15271F5C">
      <w:pPr>
        <w:ind w:firstLine="640" w:firstLineChars="200"/>
        <w:rPr>
          <w:rFonts w:hint="eastAsia" w:ascii="仿宋" w:hAnsi="仿宋" w:eastAsia="仿宋" w:cs="仿宋"/>
          <w:sz w:val="32"/>
          <w:szCs w:val="32"/>
        </w:rPr>
      </w:pPr>
      <w:r>
        <w:rPr>
          <w:rFonts w:hint="eastAsia" w:ascii="仿宋" w:hAnsi="仿宋" w:eastAsia="仿宋" w:cs="仿宋"/>
          <w:sz w:val="32"/>
          <w:szCs w:val="32"/>
        </w:rPr>
        <w:t>为落实《关于举办安徽省大学生创新大赛（2026）的预通知》（附件1）要求，做好中国国际大学生创新大赛（2026）参赛项目遴选培育工作，经研究决定启动安徽省大学生创新大赛（2026）校级初赛。由于教育部及省赛正式通知尚未发布，本次校赛各项工作暂按2025年国赛、省赛相关要求安排，后续如有调整将另行通知。现将有关事项预通知如下：</w:t>
      </w:r>
    </w:p>
    <w:p w14:paraId="18EAD8DA">
      <w:pPr>
        <w:numPr>
          <w:ilvl w:val="0"/>
          <w:numId w:val="1"/>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组织机构</w:t>
      </w:r>
    </w:p>
    <w:p w14:paraId="048DE12A">
      <w:pPr>
        <w:ind w:left="420" w:leftChars="200" w:firstLine="320" w:firstLineChars="1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本次大赛由皖江工学院教务处主办，创新创业学院牵头承办，各二级学院协办，成立校级大赛组织委员会（以下简称校组委会），创新创业学院总体统筹校赛、制定规则、协调资源及省赛推荐等工作。创新与产业工程师学院建立与各学院竞赛分管领导的常态化对接机制，统一协调赛事推进各项工作。</w:t>
      </w:r>
    </w:p>
    <w:p w14:paraId="5203C40D">
      <w:pPr>
        <w:ind w:left="420" w:leftChars="200" w:firstLine="320" w:firstLineChars="1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校组委会下设秘书处，挂靠创新创业学院，负责校赛具体组织实施、日常管理、省赛对接等工作。</w:t>
      </w:r>
    </w:p>
    <w:p w14:paraId="7584FE9C">
      <w:pPr>
        <w:ind w:left="420" w:leftChars="200" w:firstLine="320" w:firstLineChars="1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各二级学院须成立院级赛事工作组，由学院竞赛分管领导担任组长，负责本学院参赛宣传动员、项目培育、资格审核及院级遴选等工作。</w:t>
      </w:r>
    </w:p>
    <w:p w14:paraId="54F58CC7">
      <w:pPr>
        <w:numPr>
          <w:ilvl w:val="0"/>
          <w:numId w:val="1"/>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大赛内容</w:t>
      </w:r>
    </w:p>
    <w:p w14:paraId="6B269923">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一</w:t>
      </w:r>
      <w:r>
        <w:rPr>
          <w:rFonts w:hint="eastAsia" w:ascii="仿宋" w:hAnsi="仿宋" w:eastAsia="仿宋" w:cs="仿宋"/>
          <w:b/>
          <w:bCs/>
          <w:sz w:val="32"/>
          <w:szCs w:val="32"/>
          <w:lang w:eastAsia="zh-CN"/>
        </w:rPr>
        <w:t>）</w:t>
      </w:r>
      <w:r>
        <w:rPr>
          <w:rFonts w:hint="eastAsia" w:ascii="仿宋" w:hAnsi="仿宋" w:eastAsia="仿宋" w:cs="仿宋"/>
          <w:b/>
          <w:bCs/>
          <w:sz w:val="32"/>
          <w:szCs w:val="32"/>
        </w:rPr>
        <w:t>主体赛事：</w:t>
      </w:r>
      <w:r>
        <w:rPr>
          <w:rFonts w:hint="eastAsia" w:ascii="仿宋" w:hAnsi="仿宋" w:eastAsia="仿宋" w:cs="仿宋"/>
          <w:sz w:val="32"/>
          <w:szCs w:val="32"/>
        </w:rPr>
        <w:t>参照省赛设置，包括高教主赛道、“青年红色筑梦之旅”赛道、产业命题赛道3个赛道。</w:t>
      </w:r>
      <w:r>
        <w:rPr>
          <w:rFonts w:hint="eastAsia" w:ascii="仿宋" w:hAnsi="仿宋" w:eastAsia="仿宋" w:cs="仿宋"/>
          <w:b/>
          <w:bCs/>
          <w:sz w:val="32"/>
          <w:szCs w:val="32"/>
        </w:rPr>
        <w:t>各赛道参赛要求、组别划分待省赛正式通知发布后另行明确。</w:t>
      </w:r>
    </w:p>
    <w:p w14:paraId="42CDD4AB">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“青年红色筑梦之旅”活动：结合大赛同步开展，组织参赛团队深入基层开展实践服务、项目落地对接等活动，具体安排另行通知。</w:t>
      </w:r>
    </w:p>
    <w:p w14:paraId="6D646ED2">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同期活动：校赛期间将举办项目打磨训练为参赛团队提供全方位支持。</w:t>
      </w:r>
    </w:p>
    <w:p w14:paraId="40FC722A">
      <w:pPr>
        <w:ind w:firstLine="640" w:firstLineChars="200"/>
        <w:rPr>
          <w:rFonts w:hint="eastAsia" w:ascii="仿宋" w:hAnsi="仿宋" w:eastAsia="仿宋" w:cs="仿宋"/>
          <w:sz w:val="32"/>
          <w:szCs w:val="32"/>
        </w:rPr>
      </w:pPr>
      <w:r>
        <w:rPr>
          <w:rFonts w:hint="eastAsia" w:ascii="仿宋" w:hAnsi="仿宋" w:eastAsia="仿宋" w:cs="仿宋"/>
          <w:sz w:val="32"/>
          <w:szCs w:val="32"/>
        </w:rPr>
        <w:t>详情细则请登录竞赛官网：cy.ncss.cn，查看“资料下载”——“大赛通知”。</w:t>
      </w:r>
    </w:p>
    <w:p w14:paraId="2FB4831C">
      <w:pPr>
        <w:numPr>
          <w:ilvl w:val="0"/>
          <w:numId w:val="1"/>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赛制安排</w:t>
      </w:r>
    </w:p>
    <w:p w14:paraId="3B169872">
      <w:pPr>
        <w:ind w:firstLine="640" w:firstLineChars="200"/>
        <w:rPr>
          <w:rFonts w:hint="eastAsia" w:ascii="仿宋" w:hAnsi="仿宋" w:eastAsia="仿宋" w:cs="仿宋"/>
          <w:sz w:val="32"/>
          <w:szCs w:val="32"/>
        </w:rPr>
      </w:pPr>
      <w:r>
        <w:rPr>
          <w:rFonts w:hint="eastAsia" w:ascii="仿宋" w:hAnsi="仿宋" w:eastAsia="仿宋" w:cs="仿宋"/>
          <w:sz w:val="32"/>
          <w:szCs w:val="32"/>
        </w:rPr>
        <w:t>本次校赛采用</w:t>
      </w:r>
      <w:r>
        <w:rPr>
          <w:rFonts w:hint="eastAsia" w:ascii="仿宋" w:hAnsi="仿宋" w:eastAsia="仿宋" w:cs="仿宋"/>
          <w:b/>
          <w:bCs/>
          <w:sz w:val="32"/>
          <w:szCs w:val="32"/>
        </w:rPr>
        <w:t>“学院遴选-校级初赛-重点培育”</w:t>
      </w:r>
      <w:r>
        <w:rPr>
          <w:rFonts w:hint="eastAsia" w:ascii="仿宋" w:hAnsi="仿宋" w:eastAsia="仿宋" w:cs="仿宋"/>
          <w:sz w:val="32"/>
          <w:szCs w:val="32"/>
        </w:rPr>
        <w:t>三级推进机制：</w:t>
      </w:r>
    </w:p>
    <w:p w14:paraId="6CE32DFF">
      <w:pPr>
        <w:ind w:firstLine="643" w:firstLineChars="200"/>
        <w:rPr>
          <w:rFonts w:hint="eastAsia" w:ascii="仿宋" w:hAnsi="仿宋" w:eastAsia="仿宋" w:cs="仿宋"/>
          <w:sz w:val="32"/>
          <w:szCs w:val="32"/>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一</w:t>
      </w:r>
      <w:r>
        <w:rPr>
          <w:rFonts w:hint="eastAsia" w:ascii="仿宋" w:hAnsi="仿宋" w:eastAsia="仿宋" w:cs="仿宋"/>
          <w:b/>
          <w:bCs/>
          <w:sz w:val="32"/>
          <w:szCs w:val="32"/>
          <w:lang w:eastAsia="zh-CN"/>
        </w:rPr>
        <w:t>）</w:t>
      </w:r>
      <w:r>
        <w:rPr>
          <w:rFonts w:hint="eastAsia" w:ascii="仿宋" w:hAnsi="仿宋" w:eastAsia="仿宋" w:cs="仿宋"/>
          <w:b/>
          <w:bCs/>
          <w:sz w:val="32"/>
          <w:szCs w:val="32"/>
        </w:rPr>
        <w:t>学院遴选</w:t>
      </w:r>
      <w:r>
        <w:rPr>
          <w:rFonts w:hint="eastAsia" w:ascii="仿宋" w:hAnsi="仿宋" w:eastAsia="仿宋" w:cs="仿宋"/>
          <w:sz w:val="32"/>
          <w:szCs w:val="32"/>
        </w:rPr>
        <w:t>：由各二级学院自行组织初评，创新与产业工程师学院与各学院竞赛分管领导对接，明确初评标准、时间节点及其他要求，对本学院申报项目进行资格审核和初步评审，推荐优秀项目晋级校级初赛。</w:t>
      </w:r>
    </w:p>
    <w:p w14:paraId="62686EA5">
      <w:pPr>
        <w:ind w:firstLine="643" w:firstLineChars="200"/>
        <w:rPr>
          <w:rFonts w:hint="eastAsia" w:ascii="仿宋" w:hAnsi="仿宋" w:eastAsia="仿宋" w:cs="仿宋"/>
          <w:sz w:val="32"/>
          <w:szCs w:val="32"/>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二</w:t>
      </w:r>
      <w:r>
        <w:rPr>
          <w:rFonts w:hint="eastAsia" w:ascii="仿宋" w:hAnsi="仿宋" w:eastAsia="仿宋" w:cs="仿宋"/>
          <w:b/>
          <w:bCs/>
          <w:sz w:val="32"/>
          <w:szCs w:val="32"/>
          <w:lang w:eastAsia="zh-CN"/>
        </w:rPr>
        <w:t>）</w:t>
      </w:r>
      <w:r>
        <w:rPr>
          <w:rFonts w:hint="eastAsia" w:ascii="仿宋" w:hAnsi="仿宋" w:eastAsia="仿宋" w:cs="仿宋"/>
          <w:b/>
          <w:bCs/>
          <w:sz w:val="32"/>
          <w:szCs w:val="32"/>
        </w:rPr>
        <w:t>校级初赛</w:t>
      </w:r>
      <w:r>
        <w:rPr>
          <w:rFonts w:hint="eastAsia" w:ascii="仿宋" w:hAnsi="仿宋" w:eastAsia="仿宋" w:cs="仿宋"/>
          <w:sz w:val="32"/>
          <w:szCs w:val="32"/>
        </w:rPr>
        <w:t>：由校组委会组织专家对晋级项目进行评审，评选产生校级一、二、三等奖，并按省赛分配名额择优遴选项目推荐参加省级决赛，推荐项目将按评审成绩排序。</w:t>
      </w:r>
    </w:p>
    <w:p w14:paraId="5B699611">
      <w:pPr>
        <w:ind w:firstLine="640" w:firstLineChars="200"/>
        <w:rPr>
          <w:rFonts w:hint="eastAsia" w:ascii="仿宋" w:hAnsi="仿宋" w:eastAsia="仿宋" w:cs="仿宋"/>
          <w:sz w:val="32"/>
          <w:szCs w:val="32"/>
        </w:rPr>
      </w:pPr>
      <w:r>
        <w:rPr>
          <w:rFonts w:hint="eastAsia" w:ascii="仿宋" w:hAnsi="仿宋" w:eastAsia="仿宋" w:cs="仿宋"/>
          <w:sz w:val="32"/>
          <w:szCs w:val="32"/>
        </w:rPr>
        <w:t>重点培育：对拟推荐参加省赛的项目，学校将组织专项导师团队开展多轮打磨培训，提升项目竞争力。</w:t>
      </w:r>
    </w:p>
    <w:p w14:paraId="7CAEFA1E">
      <w:pPr>
        <w:numPr>
          <w:ilvl w:val="0"/>
          <w:numId w:val="1"/>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参赛对象</w:t>
      </w:r>
    </w:p>
    <w:p w14:paraId="5FBE38F9">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所有参加皖江工学院大学生创新创业训练项目的在校生均要求报名参赛。</w:t>
      </w:r>
    </w:p>
    <w:p w14:paraId="1F9C8DD6">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所有参加皖江工学院《大学生创新创业指导》和《创新思维与创新方案》课程的在校生均要求报名参赛。</w:t>
      </w:r>
    </w:p>
    <w:p w14:paraId="53FA1B5D">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所有工程师试点专业的大四毕业生均要求报名参赛，欢迎其他专业大四毕业生参赛，建议课题基于毕业设计（论文）成果参赛。</w:t>
      </w:r>
    </w:p>
    <w:p w14:paraId="3CF8A9B5">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各学院积极组织在大学生创新领域已创业成功，且符合条件的毕业生参加初创组和成长组竞赛。</w:t>
      </w:r>
    </w:p>
    <w:p w14:paraId="2A936650">
      <w:pPr>
        <w:numPr>
          <w:ilvl w:val="0"/>
          <w:numId w:val="1"/>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赛程安排</w:t>
      </w:r>
    </w:p>
    <w:tbl>
      <w:tblPr>
        <w:tblStyle w:val="7"/>
        <w:tblW w:w="86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23"/>
        <w:gridCol w:w="1746"/>
        <w:gridCol w:w="4138"/>
        <w:gridCol w:w="1533"/>
      </w:tblGrid>
      <w:tr w14:paraId="05B9F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23"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73C8D191">
            <w:pPr>
              <w:jc w:val="center"/>
              <w:rPr>
                <w:rFonts w:ascii="Times New Roman" w:hAnsi="Times New Roman" w:eastAsia="仿宋" w:cs="Times New Roman"/>
              </w:rPr>
            </w:pPr>
            <w:r>
              <w:rPr>
                <w:rFonts w:ascii="Times New Roman" w:hAnsi="Times New Roman" w:eastAsia="仿宋" w:cs="Times New Roman"/>
                <w:b/>
                <w:color w:val="000000"/>
                <w:sz w:val="24"/>
              </w:rPr>
              <w:t>阶段</w:t>
            </w:r>
          </w:p>
        </w:tc>
        <w:tc>
          <w:tcPr>
            <w:tcW w:w="1746"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7A1CA4F4">
            <w:pPr>
              <w:jc w:val="center"/>
              <w:rPr>
                <w:rFonts w:ascii="Times New Roman" w:hAnsi="Times New Roman" w:eastAsia="仿宋" w:cs="Times New Roman"/>
              </w:rPr>
            </w:pPr>
            <w:r>
              <w:rPr>
                <w:rFonts w:ascii="Times New Roman" w:hAnsi="Times New Roman" w:eastAsia="仿宋" w:cs="Times New Roman"/>
                <w:b/>
                <w:color w:val="000000"/>
                <w:sz w:val="24"/>
              </w:rPr>
              <w:t>时间</w:t>
            </w:r>
          </w:p>
        </w:tc>
        <w:tc>
          <w:tcPr>
            <w:tcW w:w="4138"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37F11974">
            <w:pPr>
              <w:jc w:val="center"/>
              <w:rPr>
                <w:rFonts w:ascii="Times New Roman" w:hAnsi="Times New Roman" w:eastAsia="仿宋" w:cs="Times New Roman"/>
              </w:rPr>
            </w:pPr>
            <w:r>
              <w:rPr>
                <w:rFonts w:ascii="Times New Roman" w:hAnsi="Times New Roman" w:eastAsia="仿宋" w:cs="Times New Roman"/>
                <w:b/>
                <w:color w:val="000000"/>
                <w:sz w:val="24"/>
              </w:rPr>
              <w:t>工作内容</w:t>
            </w:r>
          </w:p>
        </w:tc>
        <w:tc>
          <w:tcPr>
            <w:tcW w:w="1533"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376A57E0">
            <w:pPr>
              <w:jc w:val="center"/>
              <w:rPr>
                <w:rFonts w:ascii="Times New Roman" w:hAnsi="Times New Roman" w:eastAsia="仿宋" w:cs="Times New Roman"/>
              </w:rPr>
            </w:pPr>
            <w:r>
              <w:rPr>
                <w:rFonts w:ascii="Times New Roman" w:hAnsi="Times New Roman" w:eastAsia="仿宋" w:cs="Times New Roman"/>
                <w:b/>
                <w:color w:val="000000"/>
                <w:sz w:val="24"/>
              </w:rPr>
              <w:t>责任主体</w:t>
            </w:r>
          </w:p>
        </w:tc>
      </w:tr>
      <w:tr w14:paraId="5EC86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23"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49AA7EE4">
            <w:pPr>
              <w:jc w:val="center"/>
              <w:rPr>
                <w:rFonts w:ascii="Times New Roman" w:hAnsi="Times New Roman" w:eastAsia="仿宋" w:cs="Times New Roman"/>
              </w:rPr>
            </w:pPr>
            <w:r>
              <w:rPr>
                <w:rFonts w:ascii="Times New Roman" w:hAnsi="Times New Roman" w:eastAsia="仿宋" w:cs="Times New Roman"/>
                <w:color w:val="000000"/>
                <w:sz w:val="24"/>
              </w:rPr>
              <w:t>参赛报名</w:t>
            </w:r>
          </w:p>
        </w:tc>
        <w:tc>
          <w:tcPr>
            <w:tcW w:w="1746"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2CD2BB29">
            <w:pPr>
              <w:jc w:val="center"/>
              <w:rPr>
                <w:rFonts w:ascii="Times New Roman" w:hAnsi="Times New Roman" w:eastAsia="仿宋" w:cs="Times New Roman"/>
              </w:rPr>
            </w:pPr>
            <w:r>
              <w:rPr>
                <w:rFonts w:ascii="Times New Roman" w:hAnsi="Times New Roman" w:eastAsia="仿宋" w:cs="Times New Roman"/>
                <w:color w:val="000000"/>
                <w:sz w:val="24"/>
              </w:rPr>
              <w:t>即日起至2026年6月5日</w:t>
            </w:r>
          </w:p>
        </w:tc>
        <w:tc>
          <w:tcPr>
            <w:tcW w:w="4138"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2B62CE91">
            <w:pPr>
              <w:rPr>
                <w:rFonts w:ascii="Times New Roman" w:hAnsi="Times New Roman" w:eastAsia="仿宋" w:cs="Times New Roman"/>
              </w:rPr>
            </w:pPr>
            <w:r>
              <w:rPr>
                <w:rFonts w:ascii="Times New Roman" w:hAnsi="Times New Roman" w:eastAsia="仿宋" w:cs="Times New Roman"/>
                <w:color w:val="000000"/>
                <w:sz w:val="24"/>
              </w:rPr>
              <w:t>参赛团队登录全国大学生创业服务网（https://cy.ncss.cn）完成报名，报名时须选择“皖江工学院”及对应赛道</w:t>
            </w:r>
          </w:p>
        </w:tc>
        <w:tc>
          <w:tcPr>
            <w:tcW w:w="1533"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089B4CC6">
            <w:pPr>
              <w:jc w:val="center"/>
              <w:rPr>
                <w:rFonts w:ascii="Times New Roman" w:hAnsi="Times New Roman" w:eastAsia="仿宋" w:cs="Times New Roman"/>
                <w:color w:val="000000"/>
                <w:sz w:val="24"/>
              </w:rPr>
            </w:pPr>
            <w:r>
              <w:rPr>
                <w:rFonts w:ascii="Times New Roman" w:hAnsi="Times New Roman" w:eastAsia="仿宋" w:cs="Times New Roman"/>
                <w:color w:val="000000"/>
                <w:sz w:val="24"/>
              </w:rPr>
              <w:t>参赛团队、</w:t>
            </w:r>
          </w:p>
          <w:p w14:paraId="48DCEEF8">
            <w:pPr>
              <w:jc w:val="center"/>
              <w:rPr>
                <w:rFonts w:ascii="Times New Roman" w:hAnsi="Times New Roman" w:eastAsia="仿宋" w:cs="Times New Roman"/>
              </w:rPr>
            </w:pPr>
            <w:r>
              <w:rPr>
                <w:rFonts w:ascii="Times New Roman" w:hAnsi="Times New Roman" w:eastAsia="仿宋" w:cs="Times New Roman"/>
                <w:color w:val="000000"/>
                <w:sz w:val="24"/>
              </w:rPr>
              <w:t>各二级学院</w:t>
            </w:r>
          </w:p>
        </w:tc>
      </w:tr>
      <w:tr w14:paraId="033F7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23"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49E10FAE">
            <w:pPr>
              <w:jc w:val="center"/>
              <w:rPr>
                <w:rFonts w:ascii="Times New Roman" w:hAnsi="Times New Roman" w:eastAsia="仿宋" w:cs="Times New Roman"/>
              </w:rPr>
            </w:pPr>
            <w:r>
              <w:rPr>
                <w:rFonts w:ascii="Times New Roman" w:hAnsi="Times New Roman" w:eastAsia="仿宋" w:cs="Times New Roman"/>
                <w:sz w:val="24"/>
              </w:rPr>
              <w:t>学院遴选</w:t>
            </w:r>
          </w:p>
        </w:tc>
        <w:tc>
          <w:tcPr>
            <w:tcW w:w="1746"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5A2362F9">
            <w:pPr>
              <w:jc w:val="center"/>
              <w:rPr>
                <w:rFonts w:ascii="Times New Roman" w:hAnsi="Times New Roman" w:eastAsia="仿宋" w:cs="Times New Roman"/>
              </w:rPr>
            </w:pPr>
            <w:r>
              <w:rPr>
                <w:rFonts w:ascii="Times New Roman" w:hAnsi="Times New Roman" w:eastAsia="仿宋" w:cs="Times New Roman"/>
                <w:sz w:val="24"/>
              </w:rPr>
              <w:t>2026年4月20日-5月31日</w:t>
            </w:r>
          </w:p>
        </w:tc>
        <w:tc>
          <w:tcPr>
            <w:tcW w:w="4138"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1A98BF5A">
            <w:pPr>
              <w:rPr>
                <w:rFonts w:ascii="Times New Roman" w:hAnsi="Times New Roman" w:eastAsia="仿宋" w:cs="Times New Roman"/>
              </w:rPr>
            </w:pPr>
            <w:r>
              <w:rPr>
                <w:rFonts w:ascii="Times New Roman" w:hAnsi="Times New Roman" w:eastAsia="仿宋" w:cs="Times New Roman"/>
                <w:sz w:val="24"/>
              </w:rPr>
              <w:t>各学院完成院级评审，按要求提交推荐晋级校级初赛项目名单及相关材料，初评结果由各学院竞赛分管领导签字确认后统一报送至创新与产业工程师学院</w:t>
            </w:r>
          </w:p>
        </w:tc>
        <w:tc>
          <w:tcPr>
            <w:tcW w:w="1533"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70F1B1D0">
            <w:pPr>
              <w:jc w:val="center"/>
              <w:rPr>
                <w:rFonts w:ascii="Times New Roman" w:hAnsi="Times New Roman" w:eastAsia="仿宋" w:cs="Times New Roman"/>
              </w:rPr>
            </w:pPr>
            <w:r>
              <w:rPr>
                <w:rFonts w:ascii="Times New Roman" w:hAnsi="Times New Roman" w:eastAsia="仿宋" w:cs="Times New Roman"/>
                <w:sz w:val="24"/>
              </w:rPr>
              <w:t>各二级学院</w:t>
            </w:r>
          </w:p>
        </w:tc>
      </w:tr>
      <w:tr w14:paraId="6A12F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23"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357BC3C7">
            <w:pPr>
              <w:jc w:val="center"/>
              <w:rPr>
                <w:rFonts w:ascii="Times New Roman" w:hAnsi="Times New Roman" w:eastAsia="仿宋" w:cs="Times New Roman"/>
              </w:rPr>
            </w:pPr>
            <w:r>
              <w:rPr>
                <w:rFonts w:ascii="Times New Roman" w:hAnsi="Times New Roman" w:eastAsia="仿宋" w:cs="Times New Roman"/>
                <w:sz w:val="24"/>
              </w:rPr>
              <w:t>校级初赛</w:t>
            </w:r>
          </w:p>
        </w:tc>
        <w:tc>
          <w:tcPr>
            <w:tcW w:w="1746"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68127E43">
            <w:pPr>
              <w:jc w:val="center"/>
              <w:rPr>
                <w:rFonts w:ascii="Times New Roman" w:hAnsi="Times New Roman" w:eastAsia="仿宋" w:cs="Times New Roman"/>
              </w:rPr>
            </w:pPr>
            <w:r>
              <w:rPr>
                <w:rFonts w:ascii="Times New Roman" w:hAnsi="Times New Roman" w:eastAsia="仿宋" w:cs="Times New Roman"/>
                <w:sz w:val="24"/>
              </w:rPr>
              <w:t>2026年6月1日-6月7日</w:t>
            </w:r>
          </w:p>
        </w:tc>
        <w:tc>
          <w:tcPr>
            <w:tcW w:w="4138"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2882C06F">
            <w:pPr>
              <w:rPr>
                <w:rFonts w:ascii="Times New Roman" w:hAnsi="Times New Roman" w:eastAsia="仿宋" w:cs="Times New Roman"/>
              </w:rPr>
            </w:pPr>
            <w:r>
              <w:rPr>
                <w:rFonts w:ascii="Times New Roman" w:hAnsi="Times New Roman" w:eastAsia="仿宋" w:cs="Times New Roman"/>
                <w:sz w:val="24"/>
              </w:rPr>
              <w:t>校组委会组织专家完成校级评审，公示获奖名单及省赛推荐项目名单</w:t>
            </w:r>
          </w:p>
        </w:tc>
        <w:tc>
          <w:tcPr>
            <w:tcW w:w="1533"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3B1D31F9">
            <w:pPr>
              <w:jc w:val="center"/>
              <w:rPr>
                <w:rFonts w:ascii="Times New Roman" w:hAnsi="Times New Roman" w:eastAsia="仿宋" w:cs="Times New Roman"/>
              </w:rPr>
            </w:pPr>
            <w:r>
              <w:rPr>
                <w:rFonts w:ascii="Times New Roman" w:hAnsi="Times New Roman" w:eastAsia="仿宋" w:cs="Times New Roman"/>
                <w:sz w:val="24"/>
              </w:rPr>
              <w:t>校组委会</w:t>
            </w:r>
          </w:p>
        </w:tc>
      </w:tr>
      <w:tr w14:paraId="095BF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23"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75218AB8">
            <w:pPr>
              <w:jc w:val="center"/>
              <w:rPr>
                <w:rFonts w:ascii="Times New Roman" w:hAnsi="Times New Roman" w:eastAsia="仿宋" w:cs="Times New Roman"/>
              </w:rPr>
            </w:pPr>
            <w:r>
              <w:rPr>
                <w:rFonts w:ascii="Times New Roman" w:hAnsi="Times New Roman" w:eastAsia="仿宋" w:cs="Times New Roman"/>
                <w:sz w:val="24"/>
              </w:rPr>
              <w:t>省赛材料报送</w:t>
            </w:r>
          </w:p>
        </w:tc>
        <w:tc>
          <w:tcPr>
            <w:tcW w:w="1746"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22D39CD9">
            <w:pPr>
              <w:jc w:val="center"/>
              <w:rPr>
                <w:rFonts w:ascii="Times New Roman" w:hAnsi="Times New Roman" w:eastAsia="仿宋" w:cs="Times New Roman"/>
              </w:rPr>
            </w:pPr>
            <w:r>
              <w:rPr>
                <w:rFonts w:ascii="Times New Roman" w:hAnsi="Times New Roman" w:eastAsia="仿宋" w:cs="Times New Roman"/>
                <w:sz w:val="24"/>
              </w:rPr>
              <w:t>2026年6月13日-6月14日</w:t>
            </w:r>
          </w:p>
        </w:tc>
        <w:tc>
          <w:tcPr>
            <w:tcW w:w="4138"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2B34E8CE">
            <w:pPr>
              <w:rPr>
                <w:rFonts w:ascii="Times New Roman" w:hAnsi="Times New Roman" w:eastAsia="仿宋" w:cs="Times New Roman"/>
              </w:rPr>
            </w:pPr>
            <w:r>
              <w:rPr>
                <w:rFonts w:ascii="Times New Roman" w:hAnsi="Times New Roman" w:eastAsia="仿宋" w:cs="Times New Roman"/>
                <w:sz w:val="24"/>
              </w:rPr>
              <w:t>完成省赛推荐项目材料完善及系统提交，按要求向省大赛组委会报送相关材料</w:t>
            </w:r>
          </w:p>
        </w:tc>
        <w:tc>
          <w:tcPr>
            <w:tcW w:w="1533"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27D3F49D">
            <w:pPr>
              <w:jc w:val="center"/>
              <w:rPr>
                <w:rFonts w:ascii="Times New Roman" w:hAnsi="Times New Roman" w:eastAsia="仿宋" w:cs="Times New Roman"/>
              </w:rPr>
            </w:pPr>
            <w:r>
              <w:rPr>
                <w:rFonts w:ascii="Times New Roman" w:hAnsi="Times New Roman" w:eastAsia="仿宋" w:cs="Times New Roman"/>
                <w:sz w:val="24"/>
              </w:rPr>
              <w:t>校组委会、相关参赛团队</w:t>
            </w:r>
          </w:p>
        </w:tc>
      </w:tr>
      <w:tr w14:paraId="1DE7D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23"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27933550">
            <w:pPr>
              <w:jc w:val="center"/>
              <w:rPr>
                <w:rFonts w:ascii="Times New Roman" w:hAnsi="Times New Roman" w:eastAsia="仿宋" w:cs="Times New Roman"/>
              </w:rPr>
            </w:pPr>
            <w:r>
              <w:rPr>
                <w:rFonts w:ascii="Times New Roman" w:hAnsi="Times New Roman" w:eastAsia="仿宋" w:cs="Times New Roman"/>
                <w:sz w:val="24"/>
              </w:rPr>
              <w:t>省赛备战</w:t>
            </w:r>
          </w:p>
        </w:tc>
        <w:tc>
          <w:tcPr>
            <w:tcW w:w="1746"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5570F655">
            <w:pPr>
              <w:jc w:val="center"/>
              <w:rPr>
                <w:rFonts w:ascii="Times New Roman" w:hAnsi="Times New Roman" w:eastAsia="仿宋" w:cs="Times New Roman"/>
              </w:rPr>
            </w:pPr>
            <w:r>
              <w:rPr>
                <w:rFonts w:ascii="Times New Roman" w:hAnsi="Times New Roman" w:eastAsia="仿宋" w:cs="Times New Roman"/>
                <w:sz w:val="24"/>
              </w:rPr>
              <w:t>2026年6月15日-省赛举办前</w:t>
            </w:r>
          </w:p>
        </w:tc>
        <w:tc>
          <w:tcPr>
            <w:tcW w:w="4138"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69A70487">
            <w:pPr>
              <w:rPr>
                <w:rFonts w:ascii="Times New Roman" w:hAnsi="Times New Roman" w:eastAsia="仿宋" w:cs="Times New Roman"/>
              </w:rPr>
            </w:pPr>
            <w:r>
              <w:rPr>
                <w:rFonts w:ascii="Times New Roman" w:hAnsi="Times New Roman" w:eastAsia="仿宋" w:cs="Times New Roman"/>
                <w:sz w:val="24"/>
              </w:rPr>
              <w:t>组织省赛推荐项目开展集中打磨培训，做好省级决赛参赛准备</w:t>
            </w:r>
          </w:p>
        </w:tc>
        <w:tc>
          <w:tcPr>
            <w:tcW w:w="1533" w:type="dxa"/>
            <w:tcBorders>
              <w:top w:val="single" w:color="000000" w:sz="6" w:space="0"/>
              <w:left w:val="single" w:color="000000" w:sz="6" w:space="0"/>
              <w:bottom w:val="single" w:color="000000" w:sz="6" w:space="0"/>
              <w:right w:val="single" w:color="000000" w:sz="6" w:space="0"/>
            </w:tcBorders>
            <w:tcMar>
              <w:top w:w="18" w:type="dxa"/>
              <w:left w:w="78" w:type="dxa"/>
              <w:bottom w:w="18" w:type="dxa"/>
              <w:right w:w="78" w:type="dxa"/>
            </w:tcMar>
            <w:vAlign w:val="center"/>
          </w:tcPr>
          <w:p w14:paraId="47658D3A">
            <w:pPr>
              <w:jc w:val="center"/>
              <w:rPr>
                <w:rFonts w:ascii="Times New Roman" w:hAnsi="Times New Roman" w:eastAsia="仿宋" w:cs="Times New Roman"/>
              </w:rPr>
            </w:pPr>
            <w:r>
              <w:rPr>
                <w:rFonts w:ascii="Times New Roman" w:hAnsi="Times New Roman" w:eastAsia="仿宋" w:cs="Times New Roman"/>
                <w:sz w:val="24"/>
              </w:rPr>
              <w:t>校组委会、相关参赛团队</w:t>
            </w:r>
          </w:p>
        </w:tc>
      </w:tr>
    </w:tbl>
    <w:p w14:paraId="612DDDFA">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注：以上时间为暂定安排，如省赛时间或要求调整，校赛日程将同步更新并另行通知。</w:t>
      </w:r>
    </w:p>
    <w:p w14:paraId="37A9A3C7">
      <w:pPr>
        <w:numPr>
          <w:ilvl w:val="0"/>
          <w:numId w:val="1"/>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工作要求</w:t>
      </w:r>
    </w:p>
    <w:p w14:paraId="01FCC89D">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广泛宣传发动：各二级学院要高度重视，通过多种渠道做好赛事宣传动员，确保师生全面了解大赛要求，充分调动师生参赛积极性，力争实现参赛项目数量和质量双提升。</w:t>
      </w:r>
    </w:p>
    <w:p w14:paraId="59A8CECE">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强化项目培育：各学院要结合学科专业特色，挖掘优质创新创业项目，安排专人负责项目指导，为参赛团队提供场地、经费、导师等方面的支持，做好项目培育工作。</w:t>
      </w:r>
    </w:p>
    <w:p w14:paraId="3C128F47">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严格规范程序：校赛全过程坚持公平、公正、公开原则，严格执行评审规则，规范工作流程，确保评审结果客观公正。</w:t>
      </w:r>
    </w:p>
    <w:p w14:paraId="2F0F6A7D">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按时报送材料：各学院须于2026年6月8日前将院级评审结果及相关参赛材料（见附件1-附件5：项目计划书、学院参赛项目汇总表等），提交到创新与产业工程师学院。</w:t>
      </w:r>
    </w:p>
    <w:p w14:paraId="7D751320">
      <w:pPr>
        <w:numPr>
          <w:ilvl w:val="0"/>
          <w:numId w:val="1"/>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联系方式</w:t>
      </w:r>
    </w:p>
    <w:p w14:paraId="37570B8D">
      <w:pPr>
        <w:pStyle w:val="17"/>
        <w:numPr>
          <w:ilvl w:val="0"/>
          <w:numId w:val="0"/>
        </w:numPr>
        <w:ind w:left="998" w:leftChars="0" w:hanging="360" w:firstLineChars="0"/>
        <w:jc w:val="left"/>
        <w:rPr>
          <w:rFonts w:hint="eastAsia" w:ascii="仿宋" w:hAnsi="仿宋" w:eastAsia="仿宋" w:cs="仿宋"/>
          <w:sz w:val="32"/>
          <w:szCs w:val="32"/>
        </w:rPr>
      </w:pPr>
      <w:r>
        <w:rPr>
          <w:rFonts w:hint="eastAsia" w:ascii="仿宋" w:hAnsi="仿宋" w:eastAsia="仿宋" w:cs="仿宋"/>
          <w:kern w:val="2"/>
          <w:sz w:val="32"/>
          <w:szCs w:val="32"/>
          <w:lang w:val="en-US" w:eastAsia="zh-CN" w:bidi="ar-SA"/>
        </w:rPr>
        <w:t>（一）</w:t>
      </w:r>
      <w:r>
        <w:rPr>
          <w:rFonts w:hint="eastAsia" w:ascii="仿宋" w:hAnsi="仿宋" w:eastAsia="仿宋" w:cs="仿宋"/>
          <w:sz w:val="32"/>
          <w:szCs w:val="32"/>
        </w:rPr>
        <w:t xml:space="preserve">赛事咨询：创新与产业工程师学院 </w:t>
      </w:r>
    </w:p>
    <w:p w14:paraId="6B416600">
      <w:pPr>
        <w:pStyle w:val="17"/>
        <w:ind w:left="0" w:leftChars="0" w:firstLine="640" w:firstLineChars="200"/>
        <w:jc w:val="left"/>
        <w:rPr>
          <w:rFonts w:hint="eastAsia" w:ascii="仿宋" w:hAnsi="仿宋" w:eastAsia="仿宋" w:cs="仿宋"/>
          <w:sz w:val="32"/>
          <w:szCs w:val="32"/>
        </w:rPr>
      </w:pPr>
      <w:r>
        <w:rPr>
          <w:rFonts w:hint="eastAsia" w:ascii="仿宋" w:hAnsi="仿宋" w:eastAsia="仿宋" w:cs="仿宋"/>
          <w:sz w:val="32"/>
          <w:szCs w:val="32"/>
        </w:rPr>
        <w:t>陶老师18655531986</w:t>
      </w:r>
    </w:p>
    <w:p w14:paraId="0F6BAB0A">
      <w:pPr>
        <w:pStyle w:val="17"/>
        <w:ind w:left="0" w:leftChars="0" w:firstLine="640" w:firstLineChars="200"/>
        <w:jc w:val="left"/>
        <w:rPr>
          <w:rFonts w:hint="eastAsia" w:ascii="仿宋" w:hAnsi="仿宋" w:eastAsia="仿宋" w:cs="仿宋"/>
          <w:sz w:val="32"/>
          <w:szCs w:val="32"/>
        </w:rPr>
      </w:pPr>
      <w:r>
        <w:rPr>
          <w:rFonts w:hint="eastAsia" w:ascii="仿宋" w:hAnsi="仿宋" w:eastAsia="仿宋" w:cs="仿宋"/>
          <w:sz w:val="32"/>
          <w:szCs w:val="32"/>
        </w:rPr>
        <w:t>王老师15255518419</w:t>
      </w:r>
    </w:p>
    <w:p w14:paraId="308D4E37">
      <w:p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材料报送邮箱：</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"mailto:1565916340@qq.com" </w:instrText>
      </w:r>
      <w:r>
        <w:rPr>
          <w:rFonts w:hint="eastAsia" w:ascii="仿宋" w:hAnsi="仿宋" w:eastAsia="仿宋" w:cs="仿宋"/>
          <w:sz w:val="32"/>
          <w:szCs w:val="32"/>
        </w:rPr>
        <w:fldChar w:fldCharType="separate"/>
      </w:r>
      <w:r>
        <w:rPr>
          <w:rStyle w:val="11"/>
          <w:rFonts w:hint="eastAsia" w:ascii="仿宋" w:hAnsi="仿宋" w:eastAsia="仿宋" w:cs="仿宋"/>
          <w:color w:val="auto"/>
          <w:sz w:val="32"/>
          <w:szCs w:val="32"/>
        </w:rPr>
        <w:t>1565916340@qq.com</w:t>
      </w:r>
      <w:r>
        <w:rPr>
          <w:rStyle w:val="11"/>
          <w:rFonts w:hint="eastAsia" w:ascii="仿宋" w:hAnsi="仿宋" w:eastAsia="仿宋" w:cs="仿宋"/>
          <w:color w:val="auto"/>
          <w:sz w:val="32"/>
          <w:szCs w:val="32"/>
        </w:rPr>
        <w:fldChar w:fldCharType="end"/>
      </w:r>
    </w:p>
    <w:p w14:paraId="37FE5492">
      <w:pPr>
        <w:ind w:firstLine="640" w:firstLineChars="200"/>
        <w:rPr>
          <w:rFonts w:hint="eastAsia" w:ascii="仿宋" w:hAnsi="仿宋" w:eastAsia="仿宋" w:cs="仿宋"/>
          <w:sz w:val="32"/>
          <w:szCs w:val="32"/>
        </w:rPr>
      </w:pPr>
    </w:p>
    <w:p w14:paraId="40E72249">
      <w:pPr>
        <w:ind w:left="1918" w:leftChars="304" w:hanging="1280" w:hangingChars="400"/>
        <w:rPr>
          <w:rFonts w:hint="eastAsia" w:ascii="仿宋" w:hAnsi="仿宋" w:eastAsia="仿宋" w:cs="仿宋"/>
          <w:sz w:val="32"/>
          <w:szCs w:val="32"/>
        </w:rPr>
      </w:pPr>
      <w:r>
        <w:rPr>
          <w:rFonts w:hint="eastAsia" w:ascii="仿宋" w:hAnsi="仿宋" w:eastAsia="仿宋" w:cs="仿宋"/>
          <w:sz w:val="32"/>
          <w:szCs w:val="32"/>
        </w:rPr>
        <w:t>附件：</w:t>
      </w:r>
      <w:r>
        <w:rPr>
          <w:rFonts w:hint="default" w:ascii="仿宋" w:hAnsi="仿宋" w:eastAsia="仿宋" w:cs="仿宋"/>
          <w:kern w:val="2"/>
          <w:sz w:val="32"/>
          <w:szCs w:val="32"/>
          <w:lang w:val="en-US" w:eastAsia="zh-CN" w:bidi="ar-SA"/>
        </w:rPr>
        <w:t>1.</w:t>
      </w:r>
      <w:r>
        <w:rPr>
          <w:rFonts w:hint="eastAsia" w:ascii="仿宋" w:hAnsi="仿宋" w:eastAsia="仿宋" w:cs="仿宋"/>
          <w:sz w:val="32"/>
          <w:szCs w:val="32"/>
        </w:rPr>
        <w:t>关于举办安徽省大学生创新大赛（2026）的预通知</w:t>
      </w:r>
    </w:p>
    <w:p w14:paraId="22C5D52C">
      <w:pPr>
        <w:pStyle w:val="17"/>
        <w:numPr>
          <w:ilvl w:val="0"/>
          <w:numId w:val="0"/>
        </w:numPr>
        <w:ind w:firstLine="1600" w:firstLineChars="500"/>
        <w:rPr>
          <w:rFonts w:hint="eastAsia" w:ascii="仿宋" w:hAnsi="仿宋" w:eastAsia="仿宋" w:cs="仿宋"/>
          <w:sz w:val="32"/>
          <w:szCs w:val="32"/>
        </w:rPr>
      </w:pPr>
      <w:r>
        <w:rPr>
          <w:rFonts w:hint="default" w:ascii="仿宋" w:hAnsi="仿宋" w:eastAsia="仿宋" w:cs="仿宋"/>
          <w:kern w:val="2"/>
          <w:sz w:val="32"/>
          <w:szCs w:val="32"/>
          <w:lang w:val="en-US" w:eastAsia="zh-CN" w:bidi="ar-SA"/>
        </w:rPr>
        <w:t>2.</w:t>
      </w:r>
      <w:r>
        <w:rPr>
          <w:rFonts w:hint="eastAsia" w:ascii="仿宋" w:hAnsi="仿宋" w:eastAsia="仿宋" w:cs="仿宋"/>
          <w:sz w:val="32"/>
          <w:szCs w:val="32"/>
        </w:rPr>
        <w:t>项目计划书-主赛道创意组模板</w:t>
      </w:r>
    </w:p>
    <w:p w14:paraId="7C8B1D91">
      <w:pPr>
        <w:pStyle w:val="17"/>
        <w:numPr>
          <w:ilvl w:val="0"/>
          <w:numId w:val="0"/>
        </w:numPr>
        <w:ind w:firstLine="1600" w:firstLineChars="500"/>
        <w:rPr>
          <w:rFonts w:hint="eastAsia" w:ascii="仿宋" w:hAnsi="仿宋" w:eastAsia="仿宋" w:cs="仿宋"/>
          <w:sz w:val="32"/>
          <w:szCs w:val="32"/>
        </w:rPr>
      </w:pPr>
      <w:r>
        <w:rPr>
          <w:rFonts w:hint="default" w:ascii="仿宋" w:hAnsi="仿宋" w:eastAsia="仿宋" w:cs="仿宋"/>
          <w:kern w:val="2"/>
          <w:sz w:val="32"/>
          <w:szCs w:val="32"/>
          <w:lang w:val="en-US" w:eastAsia="zh-CN" w:bidi="ar-SA"/>
        </w:rPr>
        <w:t>3.</w:t>
      </w:r>
      <w:r>
        <w:rPr>
          <w:rFonts w:hint="eastAsia" w:ascii="仿宋" w:hAnsi="仿宋" w:eastAsia="仿宋" w:cs="仿宋"/>
          <w:sz w:val="32"/>
          <w:szCs w:val="32"/>
        </w:rPr>
        <w:t>项目计划书-主赛道创业组模板</w:t>
      </w:r>
    </w:p>
    <w:p w14:paraId="374E97EC">
      <w:pPr>
        <w:pStyle w:val="17"/>
        <w:numPr>
          <w:ilvl w:val="0"/>
          <w:numId w:val="0"/>
        </w:numPr>
        <w:ind w:firstLine="1600" w:firstLineChars="500"/>
        <w:rPr>
          <w:rFonts w:hint="eastAsia" w:ascii="仿宋" w:hAnsi="仿宋" w:eastAsia="仿宋" w:cs="仿宋"/>
          <w:sz w:val="32"/>
          <w:szCs w:val="32"/>
        </w:rPr>
      </w:pPr>
      <w:r>
        <w:rPr>
          <w:rFonts w:hint="default" w:ascii="仿宋" w:hAnsi="仿宋" w:eastAsia="仿宋" w:cs="仿宋"/>
          <w:kern w:val="2"/>
          <w:sz w:val="32"/>
          <w:szCs w:val="32"/>
          <w:lang w:val="en-US" w:eastAsia="zh-CN" w:bidi="ar-SA"/>
        </w:rPr>
        <w:t>4.</w:t>
      </w:r>
      <w:r>
        <w:rPr>
          <w:rFonts w:hint="eastAsia" w:ascii="仿宋" w:hAnsi="仿宋" w:eastAsia="仿宋" w:cs="仿宋"/>
          <w:sz w:val="32"/>
          <w:szCs w:val="32"/>
        </w:rPr>
        <w:t>项目计划书-红旅公益组模板</w:t>
      </w:r>
    </w:p>
    <w:p w14:paraId="6E7DB795">
      <w:pPr>
        <w:pStyle w:val="17"/>
        <w:numPr>
          <w:ilvl w:val="0"/>
          <w:numId w:val="0"/>
        </w:numPr>
        <w:ind w:firstLine="1600" w:firstLineChars="500"/>
        <w:rPr>
          <w:rFonts w:hint="eastAsia" w:ascii="仿宋" w:hAnsi="仿宋" w:eastAsia="仿宋" w:cs="仿宋"/>
          <w:sz w:val="32"/>
          <w:szCs w:val="32"/>
        </w:rPr>
      </w:pPr>
      <w:r>
        <w:rPr>
          <w:rFonts w:hint="default" w:ascii="仿宋" w:hAnsi="仿宋" w:eastAsia="仿宋" w:cs="仿宋"/>
          <w:kern w:val="2"/>
          <w:sz w:val="32"/>
          <w:szCs w:val="32"/>
          <w:lang w:val="en-US" w:eastAsia="zh-CN" w:bidi="ar-SA"/>
        </w:rPr>
        <w:t>5.</w:t>
      </w:r>
      <w:r>
        <w:rPr>
          <w:rFonts w:hint="eastAsia" w:ascii="仿宋" w:hAnsi="仿宋" w:eastAsia="仿宋" w:cs="仿宋"/>
          <w:sz w:val="32"/>
          <w:szCs w:val="32"/>
        </w:rPr>
        <w:t>项目计划书-产业赛道模板</w:t>
      </w:r>
    </w:p>
    <w:p w14:paraId="4268E169">
      <w:pPr>
        <w:pStyle w:val="17"/>
        <w:numPr>
          <w:ilvl w:val="0"/>
          <w:numId w:val="0"/>
        </w:numPr>
        <w:ind w:firstLine="1600" w:firstLineChars="500"/>
        <w:rPr>
          <w:rFonts w:hint="eastAsia" w:ascii="仿宋" w:hAnsi="仿宋" w:eastAsia="仿宋" w:cs="仿宋"/>
          <w:sz w:val="32"/>
          <w:szCs w:val="32"/>
        </w:rPr>
      </w:pPr>
      <w:r>
        <w:rPr>
          <w:rFonts w:hint="default" w:ascii="仿宋" w:hAnsi="仿宋" w:eastAsia="仿宋" w:cs="仿宋"/>
          <w:kern w:val="2"/>
          <w:sz w:val="32"/>
          <w:szCs w:val="32"/>
          <w:lang w:val="en-US" w:eastAsia="zh-CN" w:bidi="ar-SA"/>
        </w:rPr>
        <w:t>6.</w:t>
      </w:r>
      <w:r>
        <w:rPr>
          <w:rFonts w:hint="eastAsia" w:ascii="仿宋" w:hAnsi="仿宋" w:eastAsia="仿宋" w:cs="仿宋"/>
          <w:sz w:val="32"/>
          <w:szCs w:val="32"/>
        </w:rPr>
        <w:t>学院参赛项目汇总表</w:t>
      </w:r>
    </w:p>
    <w:p w14:paraId="74217EE8">
      <w:pPr>
        <w:rPr>
          <w:rFonts w:hint="eastAsia" w:ascii="仿宋" w:hAnsi="仿宋" w:eastAsia="仿宋" w:cs="仿宋"/>
          <w:sz w:val="32"/>
          <w:szCs w:val="32"/>
        </w:rPr>
      </w:pPr>
      <w:r>
        <w:rPr>
          <w:rFonts w:hint="eastAsia" w:ascii="仿宋" w:hAnsi="仿宋" w:eastAsia="仿宋" w:cs="仿宋"/>
          <w:sz w:val="32"/>
          <w:szCs w:val="32"/>
        </w:rPr>
        <w:t xml:space="preserve">                               </w:t>
      </w:r>
    </w:p>
    <w:p w14:paraId="04F1ADAA">
      <w:pPr>
        <w:rPr>
          <w:rFonts w:hint="eastAsia" w:ascii="仿宋" w:hAnsi="仿宋" w:eastAsia="仿宋" w:cs="仿宋"/>
          <w:sz w:val="32"/>
          <w:szCs w:val="32"/>
        </w:rPr>
      </w:pPr>
    </w:p>
    <w:p w14:paraId="4EBFF1CB">
      <w:pPr>
        <w:ind w:firstLine="640" w:firstLineChars="200"/>
        <w:jc w:val="right"/>
        <w:rPr>
          <w:rFonts w:hint="eastAsia" w:ascii="仿宋" w:hAnsi="仿宋" w:eastAsia="仿宋" w:cs="仿宋"/>
          <w:sz w:val="32"/>
          <w:szCs w:val="32"/>
        </w:rPr>
      </w:pPr>
      <w:r>
        <w:rPr>
          <w:rFonts w:hint="eastAsia" w:ascii="仿宋" w:hAnsi="仿宋" w:eastAsia="仿宋" w:cs="仿宋"/>
          <w:sz w:val="32"/>
          <w:szCs w:val="32"/>
        </w:rPr>
        <w:t>皖江工学院教务处</w:t>
      </w:r>
    </w:p>
    <w:p w14:paraId="34ABDBF4">
      <w:pPr>
        <w:jc w:val="right"/>
        <w:rPr>
          <w:rFonts w:hint="eastAsia" w:ascii="仿宋" w:hAnsi="仿宋" w:eastAsia="仿宋" w:cs="仿宋"/>
          <w:sz w:val="32"/>
          <w:szCs w:val="32"/>
        </w:rPr>
      </w:pPr>
      <w:r>
        <w:rPr>
          <w:rFonts w:hint="eastAsia" w:ascii="仿宋" w:hAnsi="仿宋" w:eastAsia="仿宋" w:cs="仿宋"/>
          <w:sz w:val="32"/>
          <w:szCs w:val="32"/>
        </w:rPr>
        <w:t xml:space="preserve">                               2026年4月</w:t>
      </w:r>
      <w:r>
        <w:rPr>
          <w:rFonts w:hint="eastAsia" w:ascii="仿宋" w:hAnsi="仿宋" w:eastAsia="仿宋" w:cs="仿宋"/>
          <w:sz w:val="32"/>
          <w:szCs w:val="32"/>
          <w:lang w:val="en-US" w:eastAsia="zh-CN"/>
        </w:rPr>
        <w:t>17</w:t>
      </w:r>
      <w:r>
        <w:rPr>
          <w:rFonts w:hint="eastAsia" w:ascii="仿宋" w:hAnsi="仿宋" w:eastAsia="仿宋" w:cs="仿宋"/>
          <w:sz w:val="32"/>
          <w:szCs w:val="32"/>
        </w:rPr>
        <w:t>日</w:t>
      </w:r>
    </w:p>
    <w:p w14:paraId="6F8156FA">
      <w:pPr>
        <w:jc w:val="center"/>
        <w:rPr>
          <w:rFonts w:hint="eastAsia" w:ascii="仿宋" w:hAnsi="仿宋" w:eastAsia="仿宋" w:cs="仿宋"/>
          <w:sz w:val="32"/>
          <w:szCs w:val="32"/>
        </w:rPr>
      </w:pPr>
    </w:p>
    <w:p w14:paraId="4FF2B1E0">
      <w:pPr>
        <w:ind w:firstLine="280" w:firstLineChars="100"/>
        <w:jc w:val="both"/>
        <w:rPr>
          <w:rFonts w:ascii="Times New Roman" w:hAnsi="Times New Roman" w:cs="Times New Roman"/>
        </w:rPr>
      </w:pPr>
      <w:r>
        <w:rPr>
          <w:rFonts w:hint="eastAsia" w:ascii="仿宋" w:hAnsi="仿宋" w:eastAsia="仿宋" w:cs="仿宋"/>
          <w:sz w:val="28"/>
          <w:szCs w:val="28"/>
        </w:rPr>
        <w:t xml:space="preserve">皖江工学院教务处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2026年4月1</w:t>
      </w:r>
      <w:r>
        <w:rPr>
          <w:rFonts w:hint="eastAsia" w:ascii="仿宋" w:hAnsi="仿宋" w:eastAsia="仿宋" w:cs="仿宋"/>
          <w:sz w:val="28"/>
          <w:szCs w:val="28"/>
          <w:lang w:val="en-US" w:eastAsia="zh-CN"/>
        </w:rPr>
        <w:t>7</w:t>
      </w:r>
      <w:r>
        <w:rPr>
          <w:rFonts w:hint="eastAsia" w:ascii="仿宋" w:hAnsi="仿宋" w:eastAsia="仿宋" w:cs="仿宋"/>
          <w:sz w:val="28"/>
          <w:szCs w:val="28"/>
        </w:rPr>
        <w:t>日印发</w:t>
      </w:r>
      <w:r>
        <w:rPr>
          <w:rFonts w:ascii="Times New Roman" w:hAnsi="Times New Roman" w:eastAsia="仿宋" w:cs="Times New Roman"/>
          <w:sz w:val="28"/>
          <w:szCs w:val="28"/>
        </w:rPr>
        <mc:AlternateContent>
          <mc:Choice Requires="wps">
            <w:drawing>
              <wp:anchor distT="0" distB="0" distL="114300" distR="114300" simplePos="0" relativeHeight="251661312" behindDoc="0" locked="0" layoutInCell="1" allowOverlap="1">
                <wp:simplePos x="0" y="0"/>
                <wp:positionH relativeFrom="column">
                  <wp:posOffset>-19050</wp:posOffset>
                </wp:positionH>
                <wp:positionV relativeFrom="paragraph">
                  <wp:posOffset>308610</wp:posOffset>
                </wp:positionV>
                <wp:extent cx="5257800" cy="635"/>
                <wp:effectExtent l="0" t="0" r="0" b="0"/>
                <wp:wrapNone/>
                <wp:docPr id="2074534990" name="直接连接符 2074534990"/>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5pt;margin-top:24.3pt;height:0.05pt;width:414pt;z-index:251661312;mso-width-relative:page;mso-height-relative:page;" filled="f" stroked="t" coordsize="21600,21600" o:gfxdata="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UmcNg9YAAAAIAQAADwAAAAAAAAABACAAAAAiAAAAZHJzL2Rvd25yZXYu&#10;eG1sUEsBAhQAFAAAAAgAh07iQO6Qicv9AQAA+gMAAA4AAAAAAAAAAQAgAAAAJQEAAGRycy9lMm9E&#10;b2MueG1sUEsFBgAAAAAGAAYAWQEAAJQFAAAAAA==&#10;">
                <v:fill on="f" focussize="0,0"/>
                <v:stroke color="#000000" joinstyle="round"/>
                <v:imagedata o:title=""/>
                <o:lock v:ext="edit" aspectratio="f"/>
              </v:line>
            </w:pict>
          </mc:Fallback>
        </mc:AlternateContent>
      </w:r>
      <w:r>
        <w:rPr>
          <w:rFonts w:ascii="Times New Roman" w:hAnsi="Times New Roman" w:eastAsia="仿宋" w:cs="Times New Roman"/>
          <w:sz w:val="28"/>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257800" cy="0"/>
                <wp:effectExtent l="0" t="4445" r="0" b="5080"/>
                <wp:wrapNone/>
                <wp:docPr id="704811093" name="直接连接符 704811093"/>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0pt;height:0pt;width:414pt;z-index:251660288;mso-width-relative:page;mso-height-relative:page;" filled="f" stroked="t" coordsize="21600,21600" o:gfxdata="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WFX/dAAAAACAQAADwAAAAAAAAABACAAAAAiAAAAZHJzL2Rvd25yZXYueG1sUEsBAhQA&#10;FAAAAAgAh07iQAaH2VD6AQAA9gMAAA4AAAAAAAAAAQAgAAAAHwEAAGRycy9lMm9Eb2MueG1sUEsF&#10;BgAAAAAGAAYAWQEAAIsFAAAAAA==&#10;">
                <v:fill on="f" focussize="0,0"/>
                <v:stroke color="#000000" joinstyle="round"/>
                <v:imagedata o:title=""/>
                <o:lock v:ext="edit" aspectratio="f"/>
              </v:line>
            </w:pict>
          </mc:Fallback>
        </mc:AlternateConten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DE9C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2020FC">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A2020FC">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2D2124"/>
    <w:multiLevelType w:val="singleLevel"/>
    <w:tmpl w:val="E72D212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B683768"/>
    <w:rsid w:val="00013E7F"/>
    <w:rsid w:val="000E62BD"/>
    <w:rsid w:val="00110024"/>
    <w:rsid w:val="001711FF"/>
    <w:rsid w:val="001F1F37"/>
    <w:rsid w:val="002D6CC1"/>
    <w:rsid w:val="003233D7"/>
    <w:rsid w:val="00334A34"/>
    <w:rsid w:val="00354885"/>
    <w:rsid w:val="004017D7"/>
    <w:rsid w:val="004F1FBB"/>
    <w:rsid w:val="00557CE8"/>
    <w:rsid w:val="00585280"/>
    <w:rsid w:val="005B2A47"/>
    <w:rsid w:val="0069114A"/>
    <w:rsid w:val="00702095"/>
    <w:rsid w:val="0072217D"/>
    <w:rsid w:val="00844A6E"/>
    <w:rsid w:val="008F44E4"/>
    <w:rsid w:val="00914761"/>
    <w:rsid w:val="00927CA6"/>
    <w:rsid w:val="009D7B71"/>
    <w:rsid w:val="009E4FD0"/>
    <w:rsid w:val="00AA21A9"/>
    <w:rsid w:val="00AA5D05"/>
    <w:rsid w:val="00AD747B"/>
    <w:rsid w:val="00B91C52"/>
    <w:rsid w:val="00CB367C"/>
    <w:rsid w:val="00CF524C"/>
    <w:rsid w:val="04E470A0"/>
    <w:rsid w:val="06F7755F"/>
    <w:rsid w:val="08E36F8E"/>
    <w:rsid w:val="0D5A0848"/>
    <w:rsid w:val="0DC363ED"/>
    <w:rsid w:val="11567CCE"/>
    <w:rsid w:val="13BA1693"/>
    <w:rsid w:val="16EA5E33"/>
    <w:rsid w:val="17037DB6"/>
    <w:rsid w:val="18657BA4"/>
    <w:rsid w:val="188E25E0"/>
    <w:rsid w:val="1D4B2BC5"/>
    <w:rsid w:val="21056B7A"/>
    <w:rsid w:val="241D2C8B"/>
    <w:rsid w:val="24850DB9"/>
    <w:rsid w:val="2B683768"/>
    <w:rsid w:val="2F7B222C"/>
    <w:rsid w:val="32193F7E"/>
    <w:rsid w:val="321C1669"/>
    <w:rsid w:val="324A7982"/>
    <w:rsid w:val="329D6759"/>
    <w:rsid w:val="33C6458B"/>
    <w:rsid w:val="37C87FD8"/>
    <w:rsid w:val="3AB83297"/>
    <w:rsid w:val="3BBB1EE9"/>
    <w:rsid w:val="3FBC7BEE"/>
    <w:rsid w:val="435E5B6F"/>
    <w:rsid w:val="43B835F7"/>
    <w:rsid w:val="47496783"/>
    <w:rsid w:val="480F3396"/>
    <w:rsid w:val="48290B93"/>
    <w:rsid w:val="4D8C39CA"/>
    <w:rsid w:val="4E6E7DA5"/>
    <w:rsid w:val="51446BC4"/>
    <w:rsid w:val="52167256"/>
    <w:rsid w:val="52FC57CF"/>
    <w:rsid w:val="57FC2C7E"/>
    <w:rsid w:val="58180ECF"/>
    <w:rsid w:val="5A5E1E64"/>
    <w:rsid w:val="5C256D07"/>
    <w:rsid w:val="651B4836"/>
    <w:rsid w:val="66EA3218"/>
    <w:rsid w:val="6DCC0305"/>
    <w:rsid w:val="70501B5F"/>
    <w:rsid w:val="70974410"/>
    <w:rsid w:val="756F65F9"/>
    <w:rsid w:val="7B2965AD"/>
    <w:rsid w:val="7E1C41A7"/>
    <w:rsid w:val="7FF17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link w:val="16"/>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page number"/>
    <w:qFormat/>
    <w:uiPriority w:val="0"/>
  </w:style>
  <w:style w:type="character" w:styleId="11">
    <w:name w:val="Hyperlink"/>
    <w:basedOn w:val="8"/>
    <w:qFormat/>
    <w:uiPriority w:val="0"/>
    <w:rPr>
      <w:color w:val="0000FF"/>
      <w:u w:val="single"/>
    </w:rPr>
  </w:style>
  <w:style w:type="character" w:customStyle="1" w:styleId="12">
    <w:name w:val="font11"/>
    <w:basedOn w:val="8"/>
    <w:qFormat/>
    <w:uiPriority w:val="0"/>
    <w:rPr>
      <w:rFonts w:hint="default" w:ascii="Times New Roman" w:hAnsi="Times New Roman" w:cs="Times New Roman"/>
      <w:b/>
      <w:bCs/>
      <w:color w:val="000000"/>
      <w:sz w:val="40"/>
      <w:szCs w:val="40"/>
      <w:u w:val="none"/>
    </w:rPr>
  </w:style>
  <w:style w:type="character" w:customStyle="1" w:styleId="13">
    <w:name w:val="font41"/>
    <w:basedOn w:val="8"/>
    <w:qFormat/>
    <w:uiPriority w:val="0"/>
    <w:rPr>
      <w:rFonts w:hint="eastAsia" w:ascii="宋体" w:hAnsi="宋体" w:eastAsia="宋体" w:cs="宋体"/>
      <w:b/>
      <w:bCs/>
      <w:color w:val="000000"/>
      <w:sz w:val="40"/>
      <w:szCs w:val="40"/>
      <w:u w:val="none"/>
    </w:rPr>
  </w:style>
  <w:style w:type="character" w:customStyle="1" w:styleId="14">
    <w:name w:val="font21"/>
    <w:basedOn w:val="8"/>
    <w:qFormat/>
    <w:uiPriority w:val="0"/>
    <w:rPr>
      <w:rFonts w:hint="eastAsia" w:ascii="宋体" w:hAnsi="宋体" w:eastAsia="宋体" w:cs="宋体"/>
      <w:color w:val="000000"/>
      <w:sz w:val="24"/>
      <w:szCs w:val="24"/>
      <w:u w:val="none"/>
    </w:rPr>
  </w:style>
  <w:style w:type="character" w:customStyle="1" w:styleId="15">
    <w:name w:val="font31"/>
    <w:basedOn w:val="8"/>
    <w:qFormat/>
    <w:uiPriority w:val="0"/>
    <w:rPr>
      <w:rFonts w:hint="default" w:ascii="Times New Roman" w:hAnsi="Times New Roman" w:cs="Times New Roman"/>
      <w:color w:val="000000"/>
      <w:sz w:val="24"/>
      <w:szCs w:val="24"/>
      <w:u w:val="none"/>
    </w:rPr>
  </w:style>
  <w:style w:type="character" w:customStyle="1" w:styleId="16">
    <w:name w:val="页眉 字符"/>
    <w:basedOn w:val="8"/>
    <w:link w:val="4"/>
    <w:qFormat/>
    <w:uiPriority w:val="0"/>
    <w:rPr>
      <w:rFonts w:asciiTheme="minorHAnsi" w:hAnsiTheme="minorHAnsi" w:eastAsiaTheme="minorEastAsia" w:cstheme="minorBidi"/>
      <w:kern w:val="2"/>
      <w:sz w:val="18"/>
      <w:szCs w:val="18"/>
    </w:rPr>
  </w:style>
  <w:style w:type="paragraph" w:styleId="17">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1909</Words>
  <Characters>2034</Characters>
  <Lines>284</Lines>
  <Paragraphs>368</Paragraphs>
  <TotalTime>322</TotalTime>
  <ScaleCrop>false</ScaleCrop>
  <LinksUpToDate>false</LinksUpToDate>
  <CharactersWithSpaces>2117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2026-04-16T01:40:00Z</dcterms:created>
  <dc:creator>独眼风景</dc:creator>
  <cp:lastModifiedBy>心情盒子</cp:lastModifiedBy>
  <cp:lastPrinted>2026-04-17T03:05:29Z</cp:lastPrinted>
  <dcterms:modified xsi:type="dcterms:W3CDTF">2026-04-17T03:06:29Z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B239B279696942BF98D9DF2F8DAC7BB4_13</vt:lpwstr>
  </property>
  <property fmtid="{D5CDD505-2E9C-101B-9397-08002B2CF9AE}" pid="4" name="KSOTemplateDocerSaveRecord">
    <vt:lpwstr>eyJoZGlkIjoiMTIwMTM1N2JjYWE0MTZlMmY4Y2ZlMWVkNDY0NDBlYzkiLCJ1c2VySWQiOiI2OTYwMTEyMzUifQ==</vt:lpwstr>
  </property>
</Properties>
</file>